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D9405">
      <w:pPr>
        <w:pStyle w:val="2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w:t>
      </w:r>
    </w:p>
    <w:p w14:paraId="3DCAFBE4">
      <w:pPr>
        <w:pStyle w:val="20"/>
        <w:rPr>
          <w:rFonts w:hint="eastAsia"/>
          <w:highlight w:val="none"/>
          <w:lang w:val="en-US" w:eastAsia="zh-CN"/>
        </w:rPr>
      </w:pPr>
      <w:r>
        <w:rPr>
          <w:rFonts w:hint="eastAsia"/>
          <w:highlight w:val="none"/>
        </w:rPr>
        <w:t>深圳</w:t>
      </w:r>
      <w:r>
        <w:rPr>
          <w:rFonts w:hint="eastAsia"/>
          <w:highlight w:val="none"/>
          <w:lang w:val="en-US" w:eastAsia="zh-CN"/>
        </w:rPr>
        <w:t>绿色</w:t>
      </w:r>
      <w:r>
        <w:rPr>
          <w:rFonts w:hint="eastAsia"/>
          <w:highlight w:val="none"/>
        </w:rPr>
        <w:t>交易所</w:t>
      </w:r>
      <w:r>
        <w:rPr>
          <w:rFonts w:hint="eastAsia"/>
          <w:highlight w:val="none"/>
          <w:lang w:val="en-US" w:eastAsia="zh-CN"/>
        </w:rPr>
        <w:t>有限公司</w:t>
      </w:r>
    </w:p>
    <w:p w14:paraId="151543DE">
      <w:pPr>
        <w:pStyle w:val="20"/>
        <w:rPr>
          <w:rFonts w:hint="eastAsia"/>
          <w:highlight w:val="none"/>
        </w:rPr>
      </w:pPr>
      <w:r>
        <w:rPr>
          <w:rFonts w:hint="eastAsia"/>
          <w:highlight w:val="none"/>
          <w:lang w:val="en-US" w:eastAsia="zh-CN"/>
        </w:rPr>
        <w:t>2025年度会员评优</w:t>
      </w:r>
      <w:r>
        <w:rPr>
          <w:rFonts w:hint="eastAsia"/>
          <w:highlight w:val="none"/>
        </w:rPr>
        <w:t>方案</w:t>
      </w:r>
    </w:p>
    <w:p w14:paraId="60EC787B">
      <w:pPr>
        <w:pStyle w:val="20"/>
        <w:rPr>
          <w:highlight w:val="none"/>
        </w:rPr>
      </w:pPr>
    </w:p>
    <w:p w14:paraId="3F84FF40">
      <w:pPr>
        <w:ind w:firstLine="640"/>
        <w:rPr>
          <w:highlight w:val="none"/>
        </w:rPr>
      </w:pPr>
      <w:r>
        <w:rPr>
          <w:rFonts w:hint="eastAsia"/>
          <w:highlight w:val="none"/>
        </w:rPr>
        <w:t>深圳</w:t>
      </w:r>
      <w:r>
        <w:rPr>
          <w:rFonts w:hint="eastAsia"/>
          <w:highlight w:val="none"/>
          <w:lang w:val="en-US" w:eastAsia="zh-CN"/>
        </w:rPr>
        <w:t>绿色</w:t>
      </w:r>
      <w:r>
        <w:rPr>
          <w:rFonts w:hint="eastAsia"/>
          <w:highlight w:val="none"/>
        </w:rPr>
        <w:t>交易所</w:t>
      </w:r>
      <w:r>
        <w:rPr>
          <w:rFonts w:hint="eastAsia"/>
          <w:highlight w:val="none"/>
          <w:lang w:val="en-US" w:eastAsia="zh-CN"/>
        </w:rPr>
        <w:t>有限公司</w:t>
      </w:r>
      <w:r>
        <w:rPr>
          <w:rFonts w:hint="eastAsia"/>
          <w:highlight w:val="none"/>
          <w:lang w:eastAsia="zh-CN"/>
        </w:rPr>
        <w:t>（</w:t>
      </w:r>
      <w:r>
        <w:rPr>
          <w:rFonts w:hint="eastAsia"/>
          <w:highlight w:val="none"/>
          <w:lang w:val="en-US" w:eastAsia="zh-CN"/>
        </w:rPr>
        <w:t>以下简称“本所”</w:t>
      </w:r>
      <w:r>
        <w:rPr>
          <w:rFonts w:hint="eastAsia"/>
          <w:highlight w:val="none"/>
          <w:lang w:eastAsia="zh-CN"/>
        </w:rPr>
        <w:t>）</w:t>
      </w:r>
      <w:r>
        <w:rPr>
          <w:rFonts w:hint="eastAsia"/>
          <w:highlight w:val="none"/>
        </w:rPr>
        <w:t>会员评优旨在表彰在</w:t>
      </w:r>
      <w:r>
        <w:rPr>
          <w:rFonts w:hint="eastAsia"/>
          <w:highlight w:val="none"/>
          <w:lang w:val="en-US" w:eastAsia="zh-CN"/>
        </w:rPr>
        <w:t>深圳</w:t>
      </w:r>
      <w:r>
        <w:rPr>
          <w:rFonts w:hint="eastAsia"/>
          <w:highlight w:val="none"/>
        </w:rPr>
        <w:t>碳市场中表现卓越、积极贡献、遵守规则、展现创新精神的会员单位。通过评选活动，</w:t>
      </w:r>
      <w:r>
        <w:rPr>
          <w:rFonts w:hint="eastAsia"/>
          <w:highlight w:val="none"/>
          <w:lang w:val="en-US" w:eastAsia="zh-CN"/>
        </w:rPr>
        <w:t>本所</w:t>
      </w:r>
      <w:r>
        <w:rPr>
          <w:rFonts w:hint="eastAsia"/>
          <w:highlight w:val="none"/>
        </w:rPr>
        <w:t>鼓励会员单位积极参与市场建设，推动</w:t>
      </w:r>
      <w:r>
        <w:rPr>
          <w:rFonts w:hint="eastAsia"/>
          <w:highlight w:val="none"/>
          <w:lang w:val="en-US" w:eastAsia="zh-CN"/>
        </w:rPr>
        <w:t>深圳碳市场的</w:t>
      </w:r>
      <w:r>
        <w:rPr>
          <w:rFonts w:hint="eastAsia"/>
          <w:highlight w:val="none"/>
        </w:rPr>
        <w:t>发展，实现</w:t>
      </w:r>
      <w:r>
        <w:rPr>
          <w:rFonts w:hint="eastAsia"/>
          <w:highlight w:val="none"/>
          <w:lang w:val="en-US" w:eastAsia="zh-CN"/>
        </w:rPr>
        <w:t>深圳</w:t>
      </w:r>
      <w:r>
        <w:rPr>
          <w:rFonts w:hint="eastAsia"/>
          <w:highlight w:val="none"/>
        </w:rPr>
        <w:t>碳市场的长期稳定和繁荣。</w:t>
      </w:r>
    </w:p>
    <w:p w14:paraId="2910C0A3">
      <w:pPr>
        <w:pStyle w:val="23"/>
        <w:ind w:firstLine="640"/>
        <w:rPr>
          <w:highlight w:val="none"/>
        </w:rPr>
      </w:pPr>
      <w:r>
        <w:rPr>
          <w:rFonts w:hint="eastAsia"/>
          <w:highlight w:val="none"/>
          <w:lang w:val="en-US" w:eastAsia="zh-CN"/>
        </w:rPr>
        <w:t>一</w:t>
      </w:r>
      <w:r>
        <w:rPr>
          <w:rFonts w:hint="eastAsia"/>
          <w:highlight w:val="none"/>
        </w:rPr>
        <w:t>、评选范围</w:t>
      </w:r>
    </w:p>
    <w:p w14:paraId="2DF22266">
      <w:pPr>
        <w:ind w:firstLine="640"/>
        <w:rPr>
          <w:highlight w:val="none"/>
        </w:rPr>
      </w:pPr>
      <w:r>
        <w:rPr>
          <w:rFonts w:hint="eastAsia" w:ascii="仿宋_GB2312" w:hAnsi="仿宋_GB2312" w:eastAsia="仿宋_GB2312" w:cstheme="minorBidi"/>
          <w:sz w:val="32"/>
          <w:szCs w:val="22"/>
          <w:highlight w:val="none"/>
        </w:rPr>
        <w:t>本次评选为2025年度专项评优，评选范围为</w:t>
      </w:r>
      <w:r>
        <w:rPr>
          <w:rFonts w:hint="eastAsia" w:ascii="仿宋_GB2312" w:hAnsi="仿宋_GB2312" w:eastAsia="仿宋_GB2312" w:cstheme="minorBidi"/>
          <w:b/>
          <w:bCs/>
          <w:sz w:val="32"/>
          <w:szCs w:val="22"/>
          <w:highlight w:val="none"/>
        </w:rPr>
        <w:t>截至申报日具备本所有效会员资格</w:t>
      </w:r>
      <w:r>
        <w:rPr>
          <w:rFonts w:hint="eastAsia" w:cstheme="minorBidi"/>
          <w:b/>
          <w:bCs/>
          <w:sz w:val="32"/>
          <w:szCs w:val="22"/>
          <w:highlight w:val="none"/>
          <w:lang w:eastAsia="zh-CN"/>
        </w:rPr>
        <w:t>、</w:t>
      </w:r>
      <w:r>
        <w:rPr>
          <w:rFonts w:hint="eastAsia" w:ascii="仿宋_GB2312" w:hAnsi="仿宋_GB2312" w:eastAsia="仿宋_GB2312" w:cstheme="minorBidi"/>
          <w:b/>
          <w:bCs/>
          <w:sz w:val="32"/>
          <w:szCs w:val="22"/>
          <w:highlight w:val="none"/>
        </w:rPr>
        <w:t>且符合本方案符合性审查全部条件</w:t>
      </w:r>
      <w:r>
        <w:rPr>
          <w:rFonts w:hint="eastAsia" w:ascii="仿宋_GB2312" w:hAnsi="仿宋_GB2312" w:eastAsia="仿宋_GB2312" w:cstheme="minorBidi"/>
          <w:b w:val="0"/>
          <w:bCs w:val="0"/>
          <w:sz w:val="32"/>
          <w:szCs w:val="22"/>
          <w:highlight w:val="none"/>
        </w:rPr>
        <w:t>的本所各类会员单位</w:t>
      </w:r>
      <w:r>
        <w:rPr>
          <w:rFonts w:hint="eastAsia" w:cstheme="minorBidi"/>
          <w:sz w:val="32"/>
          <w:szCs w:val="22"/>
          <w:highlight w:val="none"/>
          <w:lang w:eastAsia="zh-CN"/>
        </w:rPr>
        <w:t>。</w:t>
      </w:r>
      <w:r>
        <w:rPr>
          <w:rFonts w:hint="eastAsia" w:ascii="仿宋_GB2312" w:hAnsi="仿宋_GB2312" w:eastAsia="仿宋_GB2312" w:cstheme="minorBidi"/>
          <w:sz w:val="32"/>
          <w:szCs w:val="22"/>
          <w:highlight w:val="none"/>
        </w:rPr>
        <w:t>业绩考核周期为2025年1月1 日至202</w:t>
      </w:r>
      <w:r>
        <w:rPr>
          <w:rFonts w:hint="eastAsia" w:cstheme="minorBidi"/>
          <w:sz w:val="32"/>
          <w:szCs w:val="22"/>
          <w:highlight w:val="none"/>
          <w:lang w:val="en-US" w:eastAsia="zh-CN"/>
        </w:rPr>
        <w:t>5</w:t>
      </w:r>
      <w:r>
        <w:rPr>
          <w:rFonts w:hint="eastAsia" w:ascii="仿宋_GB2312" w:hAnsi="仿宋_GB2312" w:eastAsia="仿宋_GB2312" w:cstheme="minorBidi"/>
          <w:sz w:val="32"/>
          <w:szCs w:val="22"/>
          <w:highlight w:val="none"/>
        </w:rPr>
        <w:t>年</w:t>
      </w:r>
      <w:r>
        <w:rPr>
          <w:rFonts w:hint="eastAsia" w:cstheme="minorBidi"/>
          <w:sz w:val="32"/>
          <w:szCs w:val="22"/>
          <w:highlight w:val="none"/>
          <w:lang w:val="en-US" w:eastAsia="zh-CN"/>
        </w:rPr>
        <w:t>12</w:t>
      </w:r>
      <w:r>
        <w:rPr>
          <w:rFonts w:hint="eastAsia" w:ascii="仿宋_GB2312" w:hAnsi="仿宋_GB2312" w:eastAsia="仿宋_GB2312" w:cstheme="minorBidi"/>
          <w:sz w:val="32"/>
          <w:szCs w:val="22"/>
          <w:highlight w:val="none"/>
        </w:rPr>
        <w:t>月</w:t>
      </w:r>
      <w:r>
        <w:rPr>
          <w:rFonts w:hint="eastAsia" w:cstheme="minorBidi"/>
          <w:sz w:val="32"/>
          <w:szCs w:val="22"/>
          <w:highlight w:val="none"/>
          <w:lang w:val="en-US" w:eastAsia="zh-CN"/>
        </w:rPr>
        <w:t>31</w:t>
      </w:r>
      <w:r>
        <w:rPr>
          <w:rFonts w:hint="eastAsia" w:ascii="仿宋_GB2312" w:hAnsi="仿宋_GB2312" w:eastAsia="仿宋_GB2312" w:cstheme="minorBidi"/>
          <w:sz w:val="32"/>
          <w:szCs w:val="22"/>
          <w:highlight w:val="none"/>
        </w:rPr>
        <w:t>日。</w:t>
      </w:r>
    </w:p>
    <w:p w14:paraId="4B5C8423">
      <w:pPr>
        <w:pStyle w:val="23"/>
        <w:ind w:firstLine="640"/>
        <w:rPr>
          <w:rFonts w:hint="default" w:eastAsia="黑体"/>
          <w:color w:val="auto"/>
          <w:highlight w:val="none"/>
          <w:lang w:val="en-US" w:eastAsia="zh-CN"/>
        </w:rPr>
      </w:pPr>
      <w:r>
        <w:rPr>
          <w:rFonts w:hint="eastAsia"/>
          <w:color w:val="auto"/>
          <w:highlight w:val="none"/>
          <w:lang w:val="en-US" w:eastAsia="zh-CN"/>
        </w:rPr>
        <w:t>二</w:t>
      </w:r>
      <w:r>
        <w:rPr>
          <w:rFonts w:hint="eastAsia"/>
          <w:color w:val="auto"/>
          <w:highlight w:val="none"/>
        </w:rPr>
        <w:t>、</w:t>
      </w:r>
      <w:r>
        <w:rPr>
          <w:rFonts w:hint="eastAsia"/>
          <w:color w:val="auto"/>
          <w:highlight w:val="none"/>
          <w:lang w:val="en-US" w:eastAsia="zh-CN"/>
        </w:rPr>
        <w:t>奖项设置</w:t>
      </w:r>
    </w:p>
    <w:p w14:paraId="4CDD1F00">
      <w:pPr>
        <w:ind w:firstLine="640"/>
        <w:rPr>
          <w:rFonts w:hint="default" w:ascii="仿宋_GB2312" w:hAnsi="仿宋_GB2312" w:eastAsia="仿宋_GB2312" w:cstheme="minorBidi"/>
          <w:highlight w:val="none"/>
          <w:lang w:val="en-US" w:eastAsia="zh-CN"/>
        </w:rPr>
      </w:pPr>
      <w:r>
        <w:rPr>
          <w:rFonts w:hint="eastAsia" w:ascii="仿宋_GB2312" w:hAnsi="仿宋_GB2312" w:eastAsia="仿宋_GB2312" w:cstheme="minorBidi"/>
          <w:highlight w:val="none"/>
          <w:lang w:val="en-US" w:eastAsia="zh-CN"/>
        </w:rPr>
        <w:t>奖项共分为两类，分别为综合奖和单项奖</w:t>
      </w:r>
      <w:r>
        <w:rPr>
          <w:rFonts w:hint="eastAsia" w:cstheme="minorBidi"/>
          <w:highlight w:val="none"/>
          <w:lang w:val="en-US" w:eastAsia="zh-CN"/>
        </w:rPr>
        <w:t>，其中综合奖不超过5个，单项奖不超过40个：</w:t>
      </w:r>
    </w:p>
    <w:p w14:paraId="44DFA562">
      <w:pPr>
        <w:ind w:firstLine="640"/>
        <w:rPr>
          <w:rFonts w:hint="eastAsia" w:ascii="仿宋_GB2312" w:hAnsi="仿宋_GB2312" w:eastAsia="仿宋_GB2312" w:cstheme="minorBidi"/>
          <w:highlight w:val="none"/>
          <w:lang w:val="en-US" w:eastAsia="zh-CN"/>
        </w:rPr>
      </w:pPr>
      <w:r>
        <w:rPr>
          <w:rFonts w:hint="eastAsia" w:ascii="仿宋_GB2312" w:hAnsi="仿宋_GB2312" w:eastAsia="仿宋_GB2312" w:cstheme="minorBidi"/>
          <w:highlight w:val="none"/>
          <w:lang w:val="en-US" w:eastAsia="zh-CN"/>
        </w:rPr>
        <w:t>综合奖：优秀会员奖</w:t>
      </w:r>
    </w:p>
    <w:p w14:paraId="6E83438D">
      <w:pPr>
        <w:ind w:firstLine="640"/>
        <w:rPr>
          <w:rFonts w:hint="default" w:ascii="仿宋_GB2312" w:hAnsi="仿宋_GB2312" w:eastAsia="仿宋_GB2312" w:cstheme="minorBidi"/>
          <w:highlight w:val="none"/>
          <w:lang w:val="en-US" w:eastAsia="zh-CN"/>
        </w:rPr>
      </w:pPr>
      <w:r>
        <w:rPr>
          <w:rFonts w:hint="eastAsia" w:ascii="仿宋_GB2312" w:hAnsi="仿宋_GB2312" w:eastAsia="仿宋_GB2312" w:cstheme="minorBidi"/>
          <w:highlight w:val="none"/>
          <w:lang w:val="en-US" w:eastAsia="zh-CN"/>
        </w:rPr>
        <w:t>单项奖：交易先锋奖、</w:t>
      </w:r>
      <w:r>
        <w:rPr>
          <w:rFonts w:hint="eastAsia" w:cstheme="minorBidi"/>
          <w:highlight w:val="none"/>
          <w:lang w:val="en-US" w:eastAsia="zh-CN"/>
        </w:rPr>
        <w:t>卓越</w:t>
      </w:r>
      <w:r>
        <w:rPr>
          <w:rFonts w:hint="eastAsia" w:ascii="仿宋_GB2312" w:hAnsi="仿宋_GB2312" w:eastAsia="仿宋_GB2312" w:cstheme="minorBidi"/>
          <w:highlight w:val="none"/>
          <w:lang w:val="en-US" w:eastAsia="zh-CN"/>
        </w:rPr>
        <w:t>服务奖、创新实践奖</w:t>
      </w:r>
      <w:r>
        <w:rPr>
          <w:rFonts w:hint="eastAsia" w:cstheme="minorBidi"/>
          <w:highlight w:val="none"/>
          <w:lang w:val="en-US" w:eastAsia="zh-CN"/>
        </w:rPr>
        <w:t>、低碳先锋奖</w:t>
      </w:r>
    </w:p>
    <w:p w14:paraId="41F59CFC">
      <w:pPr>
        <w:pStyle w:val="23"/>
        <w:ind w:firstLine="640"/>
        <w:rPr>
          <w:rFonts w:hint="eastAsia"/>
          <w:highlight w:val="none"/>
          <w:lang w:val="en-US" w:eastAsia="zh-CN"/>
        </w:rPr>
      </w:pPr>
      <w:r>
        <w:rPr>
          <w:rFonts w:hint="eastAsia"/>
          <w:highlight w:val="none"/>
          <w:lang w:val="en-US" w:eastAsia="zh-CN"/>
        </w:rPr>
        <w:t>三、奖项评选规则</w:t>
      </w:r>
    </w:p>
    <w:p w14:paraId="0E201551">
      <w:pPr>
        <w:ind w:firstLine="640"/>
        <w:rPr>
          <w:rFonts w:hint="eastAsia" w:ascii="仿宋_GB2312" w:hAnsi="仿宋_GB2312" w:eastAsia="仿宋_GB2312" w:cstheme="minorBidi"/>
          <w:highlight w:val="none"/>
          <w:lang w:val="en-US" w:eastAsia="zh-CN"/>
        </w:rPr>
      </w:pPr>
      <w:r>
        <w:rPr>
          <w:rFonts w:hint="eastAsia" w:ascii="楷体_GB2312" w:hAnsi="楷体_GB2312" w:eastAsia="楷体_GB2312" w:cs="楷体_GB2312"/>
          <w:szCs w:val="32"/>
          <w:lang w:eastAsia="zh-CN"/>
        </w:rPr>
        <w:t>（一）</w:t>
      </w:r>
      <w:r>
        <w:rPr>
          <w:rFonts w:hint="eastAsia" w:ascii="仿宋_GB2312" w:hAnsi="仿宋_GB2312" w:eastAsia="仿宋_GB2312" w:cstheme="minorBidi"/>
          <w:highlight w:val="none"/>
          <w:lang w:val="en-US" w:eastAsia="zh-CN"/>
        </w:rPr>
        <w:t>每个会员单位仅可</w:t>
      </w:r>
      <w:r>
        <w:rPr>
          <w:rFonts w:hint="eastAsia" w:cstheme="minorBidi"/>
          <w:highlight w:val="none"/>
          <w:lang w:val="en-US" w:eastAsia="zh-CN"/>
        </w:rPr>
        <w:t>自主</w:t>
      </w:r>
      <w:r>
        <w:rPr>
          <w:rFonts w:hint="eastAsia" w:ascii="仿宋_GB2312" w:hAnsi="仿宋_GB2312" w:eastAsia="仿宋_GB2312" w:cstheme="minorBidi"/>
          <w:highlight w:val="none"/>
          <w:lang w:val="en-US" w:eastAsia="zh-CN"/>
        </w:rPr>
        <w:t>申报一个奖项</w:t>
      </w:r>
      <w:r>
        <w:rPr>
          <w:rFonts w:hint="eastAsia" w:cstheme="minorBidi"/>
          <w:highlight w:val="none"/>
          <w:lang w:val="en-US" w:eastAsia="zh-CN"/>
        </w:rPr>
        <w:t>，不可兼报</w:t>
      </w:r>
      <w:r>
        <w:rPr>
          <w:rFonts w:hint="eastAsia" w:ascii="仿宋_GB2312" w:hAnsi="仿宋_GB2312" w:eastAsia="仿宋_GB2312" w:cstheme="minorBidi"/>
          <w:highlight w:val="none"/>
          <w:lang w:val="en-US" w:eastAsia="zh-CN"/>
        </w:rPr>
        <w:t>;</w:t>
      </w:r>
    </w:p>
    <w:p w14:paraId="0DE9F3C8">
      <w:pPr>
        <w:ind w:firstLine="640"/>
        <w:rPr>
          <w:rFonts w:hint="eastAsia" w:ascii="仿宋_GB2312" w:hAnsi="仿宋_GB2312" w:eastAsia="仿宋_GB2312" w:cstheme="minorBidi"/>
          <w:highlight w:val="none"/>
          <w:lang w:val="en-US" w:eastAsia="zh-CN"/>
        </w:rPr>
      </w:pPr>
      <w:r>
        <w:rPr>
          <w:rFonts w:hint="eastAsia" w:ascii="楷体_GB2312" w:hAnsi="楷体_GB2312" w:eastAsia="楷体_GB2312" w:cs="楷体_GB2312"/>
          <w:szCs w:val="32"/>
          <w:lang w:eastAsia="zh-CN"/>
        </w:rPr>
        <w:t>（</w:t>
      </w:r>
      <w:r>
        <w:rPr>
          <w:rFonts w:hint="eastAsia" w:ascii="楷体_GB2312" w:hAnsi="楷体_GB2312" w:eastAsia="楷体_GB2312" w:cs="楷体_GB2312"/>
          <w:szCs w:val="32"/>
          <w:lang w:val="en-US" w:eastAsia="zh-CN"/>
        </w:rPr>
        <w:t>二</w:t>
      </w:r>
      <w:r>
        <w:rPr>
          <w:rFonts w:hint="eastAsia" w:ascii="楷体_GB2312" w:hAnsi="楷体_GB2312" w:eastAsia="楷体_GB2312" w:cs="楷体_GB2312"/>
          <w:szCs w:val="32"/>
          <w:lang w:eastAsia="zh-CN"/>
        </w:rPr>
        <w:t>）</w:t>
      </w:r>
      <w:r>
        <w:rPr>
          <w:rFonts w:hint="eastAsia" w:ascii="仿宋_GB2312" w:hAnsi="仿宋_GB2312" w:eastAsia="仿宋_GB2312" w:cstheme="minorBidi"/>
          <w:highlight w:val="none"/>
          <w:lang w:val="en-US" w:eastAsia="zh-CN"/>
        </w:rPr>
        <w:t>本所依据《深圳绿色交易所有限公司会员评优规则》组建评选委员会，负责本次评优的评审工作。评选委员会对奖项申报单位进行评分;</w:t>
      </w:r>
    </w:p>
    <w:p w14:paraId="061FC406">
      <w:pPr>
        <w:ind w:firstLine="640"/>
        <w:rPr>
          <w:rFonts w:hint="eastAsia" w:ascii="仿宋_GB2312" w:hAnsi="仿宋_GB2312" w:eastAsia="仿宋_GB2312" w:cstheme="minorBidi"/>
          <w:highlight w:val="none"/>
          <w:lang w:val="en-US" w:eastAsia="zh-CN"/>
        </w:rPr>
      </w:pPr>
      <w:r>
        <w:rPr>
          <w:rFonts w:hint="eastAsia" w:ascii="楷体_GB2312" w:hAnsi="楷体_GB2312" w:eastAsia="楷体_GB2312" w:cs="楷体_GB2312"/>
          <w:highlight w:val="none"/>
          <w:lang w:val="en-US" w:eastAsia="zh-CN"/>
        </w:rPr>
        <w:t>（三）</w:t>
      </w:r>
      <w:r>
        <w:rPr>
          <w:rFonts w:hint="eastAsia" w:ascii="仿宋_GB2312" w:hAnsi="仿宋_GB2312" w:eastAsia="仿宋_GB2312" w:cstheme="minorBidi"/>
          <w:highlight w:val="none"/>
          <w:lang w:val="en-US" w:eastAsia="zh-CN"/>
        </w:rPr>
        <w:t>评选委员会由本所相关部门代表及外部专家组成，确保评审过程公正、客观、专业</w:t>
      </w:r>
      <w:r>
        <w:rPr>
          <w:rFonts w:hint="eastAsia" w:cstheme="minorBidi"/>
          <w:highlight w:val="none"/>
          <w:lang w:val="en-US" w:eastAsia="zh-CN"/>
        </w:rPr>
        <w:t>；</w:t>
      </w:r>
    </w:p>
    <w:p w14:paraId="3B1CBE6E">
      <w:pPr>
        <w:ind w:firstLine="640"/>
        <w:rPr>
          <w:rFonts w:hint="eastAsia" w:ascii="仿宋_GB2312" w:hAnsi="仿宋_GB2312" w:eastAsia="仿宋_GB2312" w:cstheme="minorBidi"/>
          <w:highlight w:val="none"/>
          <w:lang w:val="en-US" w:eastAsia="zh-CN"/>
        </w:rPr>
      </w:pPr>
      <w:r>
        <w:rPr>
          <w:rFonts w:hint="eastAsia" w:ascii="楷体_GB2312" w:hAnsi="楷体_GB2312" w:eastAsia="楷体_GB2312" w:cs="楷体_GB2312"/>
          <w:highlight w:val="none"/>
          <w:lang w:val="en-US" w:eastAsia="zh-CN"/>
        </w:rPr>
        <w:t>（四）</w:t>
      </w:r>
      <w:r>
        <w:rPr>
          <w:rFonts w:hint="eastAsia" w:ascii="仿宋_GB2312" w:hAnsi="仿宋_GB2312" w:eastAsia="仿宋_GB2312" w:cstheme="minorBidi"/>
          <w:highlight w:val="none"/>
          <w:lang w:val="en-US" w:eastAsia="zh-CN"/>
        </w:rPr>
        <w:t>评选结果经审议通过并公示无异议后生效。</w:t>
      </w:r>
    </w:p>
    <w:p w14:paraId="2AB052E4">
      <w:pPr>
        <w:pStyle w:val="23"/>
        <w:ind w:firstLine="0"/>
        <w:rPr>
          <w:rFonts w:hint="eastAsia"/>
          <w:lang w:eastAsia="zh-CN"/>
        </w:rPr>
      </w:pPr>
      <w:r>
        <w:rPr>
          <w:rFonts w:hint="eastAsia"/>
          <w:lang w:val="en-US" w:eastAsia="zh-CN"/>
        </w:rPr>
        <w:t>四</w:t>
      </w:r>
      <w:r>
        <w:rPr>
          <w:rFonts w:hint="eastAsia"/>
        </w:rPr>
        <w:t>、评选</w:t>
      </w:r>
      <w:r>
        <w:rPr>
          <w:rFonts w:hint="eastAsia"/>
          <w:lang w:val="en-US" w:eastAsia="zh-CN"/>
        </w:rPr>
        <w:t>程序</w:t>
      </w:r>
    </w:p>
    <w:p w14:paraId="516C29B8">
      <w:pPr>
        <w:ind w:firstLine="640"/>
        <w:rPr>
          <w:rFonts w:hint="eastAsia"/>
          <w:color w:val="auto"/>
          <w:highlight w:val="none"/>
          <w:lang w:val="en-US" w:eastAsia="zh-CN"/>
        </w:rPr>
      </w:pPr>
      <w:r>
        <w:rPr>
          <w:rFonts w:hint="eastAsia"/>
          <w:color w:val="auto"/>
          <w:highlight w:val="none"/>
          <w:lang w:val="en-US" w:eastAsia="zh-CN"/>
        </w:rPr>
        <w:t>评选工作分为以下七个阶段，各阶段安排如下：</w:t>
      </w:r>
    </w:p>
    <w:p w14:paraId="72DE2FA2">
      <w:pPr>
        <w:ind w:firstLine="640"/>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（一）发布评选通知</w:t>
      </w:r>
    </w:p>
    <w:p w14:paraId="20CF7330">
      <w:pPr>
        <w:ind w:firstLine="640"/>
        <w:rPr>
          <w:rFonts w:hint="eastAsia"/>
          <w:color w:val="auto"/>
          <w:highlight w:val="none"/>
          <w:lang w:val="en-US" w:eastAsia="zh-CN"/>
        </w:rPr>
      </w:pPr>
      <w:r>
        <w:rPr>
          <w:rFonts w:hint="eastAsia"/>
          <w:color w:val="auto"/>
          <w:highlight w:val="none"/>
          <w:lang w:val="en-US" w:eastAsia="zh-CN"/>
        </w:rPr>
        <w:t>本所通过官方网站及会员管理系统发布年度评优通知及方案，明确申报条件、奖项设置、评审标准、时间安排及材料要求，同步启动申报工作。</w:t>
      </w:r>
    </w:p>
    <w:p w14:paraId="18AE42E2">
      <w:pPr>
        <w:ind w:firstLine="640"/>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（二）会员提交申报材料</w:t>
      </w:r>
    </w:p>
    <w:p w14:paraId="17DDD925">
      <w:pPr>
        <w:ind w:firstLine="640"/>
        <w:rPr>
          <w:rFonts w:hint="eastAsia"/>
          <w:color w:val="auto"/>
          <w:highlight w:val="none"/>
          <w:lang w:val="en-US" w:eastAsia="zh-CN"/>
        </w:rPr>
      </w:pPr>
      <w:r>
        <w:rPr>
          <w:rFonts w:hint="eastAsia"/>
          <w:b/>
          <w:bCs/>
          <w:color w:val="auto"/>
          <w:highlight w:val="none"/>
          <w:u w:val="single"/>
        </w:rPr>
        <w:t>符合申报条件的会员单位应于2026年</w:t>
      </w:r>
      <w:r>
        <w:rPr>
          <w:rFonts w:hint="eastAsia"/>
          <w:b/>
          <w:bCs/>
          <w:color w:val="auto"/>
          <w:highlight w:val="none"/>
          <w:u w:val="single"/>
          <w:lang w:eastAsia="zh-CN"/>
        </w:rPr>
        <w:t>7月24日</w:t>
      </w:r>
      <w:r>
        <w:rPr>
          <w:rFonts w:hint="eastAsia"/>
          <w:b/>
          <w:bCs/>
          <w:color w:val="auto"/>
          <w:highlight w:val="none"/>
          <w:u w:val="single"/>
        </w:rPr>
        <w:t>前将完整申报材料（正本1份、副本4份，建议装订并加盖公章、骑缝章）报送至本所，材料清单如下：</w:t>
      </w:r>
    </w:p>
    <w:p w14:paraId="0FC131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1.</w:t>
      </w:r>
      <w:r>
        <w:rPr>
          <w:rFonts w:hint="eastAsia" w:ascii="仿宋_GB2312" w:hAnsi="仿宋_GB2312" w:eastAsia="仿宋_GB2312" w:cs="仿宋_GB2312"/>
          <w:sz w:val="32"/>
          <w:szCs w:val="32"/>
        </w:rPr>
        <w:t>《深圳绿色交易所有限公司2025年度会员评优申请表》（原件加盖公章）；</w:t>
      </w:r>
    </w:p>
    <w:p w14:paraId="0870C2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2.</w:t>
      </w:r>
      <w:r>
        <w:rPr>
          <w:rFonts w:hint="eastAsia" w:ascii="仿宋_GB2312" w:hAnsi="仿宋_GB2312" w:eastAsia="仿宋_GB2312" w:cs="仿宋_GB2312"/>
          <w:sz w:val="32"/>
          <w:szCs w:val="32"/>
        </w:rPr>
        <w:t>会员单位主体资格证明文件（营业执照副本扫描件）；</w:t>
      </w:r>
    </w:p>
    <w:p w14:paraId="318C54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3.</w:t>
      </w:r>
      <w:r>
        <w:rPr>
          <w:rFonts w:hint="eastAsia" w:ascii="仿宋_GB2312" w:hAnsi="仿宋_GB2312" w:eastAsia="仿宋_GB2312" w:cs="仿宋_GB2312"/>
          <w:sz w:val="32"/>
          <w:szCs w:val="32"/>
        </w:rPr>
        <w:t>符合性审核条件所需的自查说明</w:t>
      </w:r>
      <w:r>
        <w:rPr>
          <w:rFonts w:hint="eastAsia" w:ascii="仿宋_GB2312" w:hAnsi="仿宋_GB2312" w:eastAsia="仿宋_GB2312" w:cs="仿宋_GB2312"/>
          <w:sz w:val="32"/>
          <w:szCs w:val="32"/>
          <w:lang w:val="en-US" w:eastAsia="zh-CN"/>
        </w:rPr>
        <w:t>或承诺书，以及其他</w:t>
      </w:r>
      <w:r>
        <w:rPr>
          <w:rFonts w:hint="eastAsia" w:ascii="仿宋_GB2312" w:hAnsi="仿宋_GB2312" w:eastAsia="仿宋_GB2312" w:cs="仿宋_GB2312"/>
          <w:sz w:val="32"/>
          <w:szCs w:val="32"/>
        </w:rPr>
        <w:t>佐证材料（格式自拟）；</w:t>
      </w:r>
    </w:p>
    <w:p w14:paraId="55C18E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4.</w:t>
      </w:r>
      <w:r>
        <w:rPr>
          <w:rFonts w:hint="eastAsia" w:ascii="仿宋_GB2312" w:hAnsi="仿宋_GB2312" w:eastAsia="仿宋_GB2312" w:cs="仿宋_GB2312"/>
          <w:sz w:val="32"/>
          <w:szCs w:val="32"/>
        </w:rPr>
        <w:t>申报奖项对应的事迹说明材料（对照评分标准逐项说明，可附补充佐证材料）；</w:t>
      </w:r>
    </w:p>
    <w:p w14:paraId="53EA7D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cs="仿宋_GB2312"/>
          <w:sz w:val="32"/>
          <w:szCs w:val="32"/>
          <w:lang w:val="en-US" w:eastAsia="zh-CN"/>
        </w:rPr>
        <w:t>5.</w:t>
      </w:r>
      <w:r>
        <w:rPr>
          <w:rFonts w:hint="eastAsia" w:ascii="仿宋_GB2312" w:hAnsi="仿宋_GB2312" w:eastAsia="仿宋_GB2312" w:cs="仿宋_GB2312"/>
          <w:sz w:val="32"/>
          <w:szCs w:val="32"/>
        </w:rPr>
        <w:t>各评分项对应的证明材料（扫描件、官方网站截图或正式协议/报告等可核验文件）。</w:t>
      </w:r>
    </w:p>
    <w:p w14:paraId="036F75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逾期提交或材料不齐全者视为自动放弃申报资格。</w:t>
      </w:r>
    </w:p>
    <w:p w14:paraId="5F551BD5">
      <w:pPr>
        <w:ind w:firstLine="640"/>
        <w:rPr>
          <w:rFonts w:hint="eastAsia"/>
          <w:color w:val="auto"/>
          <w:highlight w:val="none"/>
          <w:lang w:val="en-US" w:eastAsia="zh-CN"/>
        </w:rPr>
      </w:pPr>
      <w:r>
        <w:rPr>
          <w:rFonts w:hint="eastAsia"/>
          <w:color w:val="auto"/>
          <w:highlight w:val="none"/>
          <w:lang w:val="en-US" w:eastAsia="zh-CN"/>
        </w:rPr>
        <w:t>以上资料需邮寄至：</w:t>
      </w:r>
    </w:p>
    <w:p w14:paraId="54108369">
      <w:pPr>
        <w:ind w:firstLine="640"/>
        <w:rPr>
          <w:rFonts w:hint="eastAsia"/>
          <w:color w:val="auto"/>
          <w:highlight w:val="none"/>
          <w:lang w:val="en-US" w:eastAsia="zh-CN"/>
        </w:rPr>
      </w:pPr>
      <w:r>
        <w:rPr>
          <w:rFonts w:hint="eastAsia"/>
          <w:color w:val="auto"/>
          <w:highlight w:val="none"/>
          <w:lang w:val="en-US" w:eastAsia="zh-CN"/>
        </w:rPr>
        <w:t>地    址：广东省深圳市南山区深圳交易集团总部大楼23楼深圳绿色交易所</w:t>
      </w:r>
    </w:p>
    <w:p w14:paraId="30616560">
      <w:pPr>
        <w:ind w:firstLine="640"/>
        <w:rPr>
          <w:rFonts w:hint="default"/>
          <w:color w:val="auto"/>
          <w:highlight w:val="none"/>
          <w:lang w:val="en-US" w:eastAsia="zh-CN"/>
        </w:rPr>
      </w:pPr>
      <w:r>
        <w:rPr>
          <w:rFonts w:hint="eastAsia"/>
          <w:color w:val="auto"/>
          <w:highlight w:val="none"/>
          <w:lang w:val="en-US" w:eastAsia="zh-CN"/>
        </w:rPr>
        <w:t>收件部门：市场推广部</w:t>
      </w:r>
    </w:p>
    <w:p w14:paraId="47C4D550">
      <w:pPr>
        <w:ind w:firstLine="640"/>
        <w:rPr>
          <w:rFonts w:hint="default"/>
          <w:color w:val="auto"/>
          <w:highlight w:val="none"/>
          <w:lang w:val="en-US" w:eastAsia="zh-CN"/>
        </w:rPr>
      </w:pPr>
      <w:r>
        <w:rPr>
          <w:rFonts w:hint="eastAsia"/>
          <w:color w:val="auto"/>
          <w:highlight w:val="none"/>
          <w:lang w:val="en-US" w:eastAsia="zh-CN"/>
        </w:rPr>
        <w:t>联系电话：</w:t>
      </w:r>
      <w:r>
        <w:rPr>
          <w:rFonts w:hint="eastAsia" w:cs="仿宋_GB2312"/>
          <w:szCs w:val="32"/>
          <w:lang w:val="en-US" w:eastAsia="zh-CN"/>
        </w:rPr>
        <w:t>0755-23485357</w:t>
      </w:r>
    </w:p>
    <w:p w14:paraId="6ED0BB53">
      <w:pPr>
        <w:numPr>
          <w:ilvl w:val="0"/>
          <w:numId w:val="1"/>
        </w:numPr>
        <w:ind w:firstLine="640"/>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符合性审核与初步审核</w:t>
      </w:r>
    </w:p>
    <w:p w14:paraId="49E2C45A">
      <w:pPr>
        <w:ind w:firstLine="640"/>
        <w:rPr>
          <w:rFonts w:hint="eastAsia"/>
          <w:color w:val="auto"/>
          <w:highlight w:val="none"/>
          <w:lang w:val="en-US" w:eastAsia="zh-CN"/>
        </w:rPr>
      </w:pPr>
      <w:r>
        <w:rPr>
          <w:rFonts w:hint="eastAsia"/>
          <w:color w:val="auto"/>
          <w:highlight w:val="none"/>
          <w:lang w:val="en-US" w:eastAsia="zh-CN"/>
        </w:rPr>
        <w:t>本所对申报材料进行形式审查与符合性审核：</w:t>
      </w:r>
    </w:p>
    <w:p w14:paraId="1E9700B0">
      <w:pPr>
        <w:numPr>
          <w:ilvl w:val="0"/>
          <w:numId w:val="2"/>
        </w:numPr>
        <w:ind w:left="960" w:leftChars="200" w:hanging="320" w:hangingChars="100"/>
        <w:rPr>
          <w:rFonts w:hint="eastAsia"/>
          <w:color w:val="auto"/>
          <w:highlight w:val="none"/>
          <w:lang w:val="en-US" w:eastAsia="zh-CN"/>
        </w:rPr>
      </w:pPr>
      <w:r>
        <w:rPr>
          <w:rFonts w:hint="eastAsia"/>
          <w:color w:val="auto"/>
          <w:highlight w:val="none"/>
          <w:lang w:val="en-US" w:eastAsia="zh-CN"/>
        </w:rPr>
        <w:t>符合性审核：逐项核查申报单位是否满足第五条第（一）款所列全部符合性条件。任一条件不满足者，直接取消参评资格，不再进入后续评审环节。</w:t>
      </w:r>
    </w:p>
    <w:p w14:paraId="2E28EEF0">
      <w:pPr>
        <w:numPr>
          <w:ilvl w:val="0"/>
          <w:numId w:val="2"/>
        </w:numPr>
        <w:ind w:left="960" w:leftChars="200" w:hanging="320" w:hangingChars="100"/>
        <w:rPr>
          <w:rFonts w:hint="eastAsia"/>
          <w:color w:val="auto"/>
          <w:highlight w:val="none"/>
          <w:lang w:val="en-US" w:eastAsia="zh-CN"/>
        </w:rPr>
      </w:pPr>
      <w:r>
        <w:rPr>
          <w:rFonts w:hint="eastAsia"/>
          <w:color w:val="auto"/>
          <w:highlight w:val="none"/>
          <w:lang w:val="en-US" w:eastAsia="zh-CN"/>
        </w:rPr>
        <w:t>初步审核：根据《</w:t>
      </w:r>
      <w:r>
        <w:rPr>
          <w:rFonts w:hint="eastAsia"/>
          <w:color w:val="auto"/>
          <w:highlight w:val="none"/>
        </w:rPr>
        <w:t>深圳绿色交易所有限公司2025年度会员评优申请表</w:t>
      </w:r>
      <w:r>
        <w:rPr>
          <w:rFonts w:hint="eastAsia"/>
          <w:color w:val="auto"/>
          <w:highlight w:val="none"/>
          <w:lang w:val="en-US" w:eastAsia="zh-CN"/>
        </w:rPr>
        <w:t>》（见附件）对通过符合性审核的申报材料进行完整性、规范性审核，确认申报奖项与评分标准匹配。</w:t>
      </w:r>
      <w:r>
        <w:rPr>
          <w:rFonts w:hint="eastAsia"/>
          <w:b/>
          <w:bCs/>
          <w:color w:val="auto"/>
          <w:highlight w:val="none"/>
          <w:lang w:val="en-US" w:eastAsia="zh-CN"/>
        </w:rPr>
        <w:t>可一次性书面通知申报单位在 2个工作日内补正，补正仅限1次</w:t>
      </w:r>
      <w:r>
        <w:rPr>
          <w:rFonts w:hint="eastAsia"/>
          <w:color w:val="auto"/>
          <w:highlight w:val="none"/>
          <w:lang w:val="en-US" w:eastAsia="zh-CN"/>
        </w:rPr>
        <w:t>；逾期未补正或补正后仍不符合要求的，视为放弃申报资格。</w:t>
      </w:r>
    </w:p>
    <w:p w14:paraId="0BD356AE">
      <w:pPr>
        <w:numPr>
          <w:ilvl w:val="0"/>
          <w:numId w:val="1"/>
        </w:numPr>
        <w:ind w:firstLine="640"/>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专家评审</w:t>
      </w:r>
    </w:p>
    <w:p w14:paraId="511F8541">
      <w:pPr>
        <w:ind w:firstLine="640"/>
        <w:rPr>
          <w:rFonts w:hint="eastAsia"/>
          <w:color w:val="auto"/>
          <w:highlight w:val="none"/>
          <w:lang w:val="en-US" w:eastAsia="zh-CN"/>
        </w:rPr>
      </w:pPr>
      <w:r>
        <w:rPr>
          <w:rFonts w:hint="eastAsia"/>
          <w:color w:val="auto"/>
          <w:highlight w:val="none"/>
          <w:lang w:val="en-US" w:eastAsia="zh-CN"/>
        </w:rPr>
        <w:t>评选委员会依据本方案第五条的评分标准，对通过初步审核的申报单位进行量化评分：</w:t>
      </w:r>
    </w:p>
    <w:p w14:paraId="2A957EFD">
      <w:pPr>
        <w:numPr>
          <w:ilvl w:val="0"/>
          <w:numId w:val="3"/>
        </w:numPr>
        <w:ind w:left="960" w:leftChars="200" w:hanging="320" w:hangingChars="100"/>
        <w:rPr>
          <w:rFonts w:hint="eastAsia"/>
          <w:color w:val="auto"/>
          <w:highlight w:val="none"/>
          <w:lang w:val="en-US" w:eastAsia="zh-CN"/>
        </w:rPr>
      </w:pPr>
      <w:r>
        <w:rPr>
          <w:rFonts w:hint="eastAsia"/>
          <w:color w:val="auto"/>
          <w:highlight w:val="none"/>
          <w:lang w:val="en-US" w:eastAsia="zh-CN"/>
        </w:rPr>
        <w:t>商务部分（权重40%）和技术部分（权重60%）分别计分，按奖项类别汇总各申报单位总得分；</w:t>
      </w:r>
    </w:p>
    <w:p w14:paraId="2772701F">
      <w:pPr>
        <w:numPr>
          <w:ilvl w:val="0"/>
          <w:numId w:val="3"/>
        </w:numPr>
        <w:ind w:left="960" w:leftChars="200" w:hanging="320" w:hangingChars="100"/>
        <w:rPr>
          <w:rFonts w:hint="eastAsia"/>
          <w:color w:val="auto"/>
          <w:highlight w:val="none"/>
          <w:lang w:val="en-US" w:eastAsia="zh-CN"/>
        </w:rPr>
      </w:pPr>
      <w:r>
        <w:rPr>
          <w:rFonts w:hint="eastAsia"/>
          <w:color w:val="auto"/>
          <w:highlight w:val="none"/>
          <w:lang w:val="en-US" w:eastAsia="zh-CN"/>
        </w:rPr>
        <w:t>各奖项按总得分由高至低排序，以不超过奖项名额上限为原则确定拟获奖名单；</w:t>
      </w:r>
    </w:p>
    <w:p w14:paraId="33ABCE18">
      <w:pPr>
        <w:numPr>
          <w:ilvl w:val="0"/>
          <w:numId w:val="3"/>
        </w:numPr>
        <w:ind w:left="960" w:leftChars="200" w:hanging="320" w:hangingChars="100"/>
        <w:rPr>
          <w:rFonts w:hint="eastAsia"/>
          <w:color w:val="auto"/>
          <w:highlight w:val="none"/>
          <w:lang w:val="en-US" w:eastAsia="zh-CN"/>
        </w:rPr>
      </w:pPr>
      <w:r>
        <w:rPr>
          <w:rFonts w:hint="eastAsia"/>
          <w:color w:val="auto"/>
          <w:highlight w:val="none"/>
          <w:lang w:val="en-US" w:eastAsia="zh-CN"/>
        </w:rPr>
        <w:t>若出现同分情形，由评选委员会以无记名投票方式按简单多数票裁定；</w:t>
      </w:r>
    </w:p>
    <w:p w14:paraId="438A1D8B">
      <w:pPr>
        <w:numPr>
          <w:ilvl w:val="0"/>
          <w:numId w:val="3"/>
        </w:numPr>
        <w:ind w:left="960" w:leftChars="200" w:hanging="320" w:hangingChars="100"/>
        <w:rPr>
          <w:rFonts w:hint="eastAsia"/>
          <w:color w:val="auto"/>
          <w:highlight w:val="none"/>
          <w:lang w:val="en-US" w:eastAsia="zh-CN"/>
        </w:rPr>
      </w:pPr>
      <w:r>
        <w:rPr>
          <w:rFonts w:hint="eastAsia"/>
          <w:color w:val="auto"/>
          <w:highlight w:val="none"/>
        </w:rPr>
        <w:t>若某一奖项</w:t>
      </w:r>
      <w:r>
        <w:rPr>
          <w:rFonts w:hint="eastAsia"/>
          <w:color w:val="auto"/>
          <w:highlight w:val="none"/>
          <w:lang w:val="en-US" w:eastAsia="zh-CN"/>
        </w:rPr>
        <w:t>通过</w:t>
      </w:r>
      <w:r>
        <w:rPr>
          <w:rFonts w:hint="eastAsia"/>
          <w:color w:val="auto"/>
          <w:highlight w:val="none"/>
        </w:rPr>
        <w:t>符合性审查</w:t>
      </w:r>
      <w:r>
        <w:rPr>
          <w:rFonts w:hint="eastAsia"/>
          <w:color w:val="auto"/>
          <w:highlight w:val="none"/>
          <w:lang w:val="en-US" w:eastAsia="zh-CN"/>
        </w:rPr>
        <w:t>的</w:t>
      </w:r>
      <w:r>
        <w:rPr>
          <w:rFonts w:hint="eastAsia"/>
          <w:color w:val="auto"/>
          <w:highlight w:val="none"/>
        </w:rPr>
        <w:t>实际参评单位数量少于该奖项设置的名额上限（即少于5家），则该奖项所有参评单位均自动列入拟获奖名单。</w:t>
      </w:r>
    </w:p>
    <w:p w14:paraId="24A7FD7B">
      <w:pPr>
        <w:numPr>
          <w:ilvl w:val="0"/>
          <w:numId w:val="1"/>
        </w:numPr>
        <w:ind w:firstLine="640"/>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评选结果审议与公示</w:t>
      </w:r>
    </w:p>
    <w:p w14:paraId="7B371235">
      <w:pPr>
        <w:ind w:firstLine="640"/>
        <w:rPr>
          <w:rFonts w:hint="eastAsia"/>
          <w:color w:val="auto"/>
          <w:highlight w:val="none"/>
          <w:lang w:val="en-US" w:eastAsia="zh-CN"/>
        </w:rPr>
      </w:pPr>
      <w:r>
        <w:rPr>
          <w:rFonts w:hint="eastAsia"/>
          <w:color w:val="auto"/>
          <w:highlight w:val="none"/>
          <w:lang w:val="en-US" w:eastAsia="zh-CN"/>
        </w:rPr>
        <w:t>评选结果经本所内部审议程序通过后，在本所官方网站进行公示，</w:t>
      </w:r>
      <w:r>
        <w:rPr>
          <w:rFonts w:hint="eastAsia"/>
          <w:b/>
          <w:bCs/>
          <w:color w:val="auto"/>
          <w:highlight w:val="none"/>
          <w:lang w:val="en-US" w:eastAsia="zh-CN"/>
        </w:rPr>
        <w:t>公示期为5个工作日，自公示发布次日起算，届满日遇法定节假日顺延。</w:t>
      </w:r>
    </w:p>
    <w:p w14:paraId="2D2FF78E">
      <w:pPr>
        <w:ind w:firstLine="640"/>
        <w:rPr>
          <w:rFonts w:hint="eastAsia"/>
          <w:color w:val="auto"/>
          <w:highlight w:val="none"/>
          <w:lang w:val="en-US" w:eastAsia="zh-CN"/>
        </w:rPr>
      </w:pPr>
      <w:r>
        <w:rPr>
          <w:rFonts w:hint="eastAsia"/>
          <w:color w:val="auto"/>
          <w:highlight w:val="none"/>
          <w:lang w:val="en-US" w:eastAsia="zh-CN"/>
        </w:rPr>
        <w:t>公示期间，任何单位或个人对评选结果有异议的，可</w:t>
      </w:r>
      <w:r>
        <w:rPr>
          <w:rFonts w:hint="eastAsia"/>
          <w:b/>
          <w:bCs/>
          <w:color w:val="auto"/>
          <w:highlight w:val="none"/>
          <w:lang w:val="en-US" w:eastAsia="zh-CN"/>
        </w:rPr>
        <w:t>向本所提出书面异议材料，载明异议事实、理由并附相关证明材料。</w:t>
      </w:r>
      <w:r>
        <w:rPr>
          <w:rFonts w:hint="eastAsia"/>
          <w:color w:val="auto"/>
          <w:highlight w:val="none"/>
          <w:lang w:val="en-US" w:eastAsia="zh-CN"/>
        </w:rPr>
        <w:t>异议成立的，将提交评选委员会重新审议并调整结果。异议处理期间，对应奖项的表彰程序暂缓执行。</w:t>
      </w:r>
    </w:p>
    <w:p w14:paraId="202410FD">
      <w:pPr>
        <w:ind w:firstLine="640"/>
        <w:rPr>
          <w:rFonts w:hint="eastAsia"/>
          <w:color w:val="auto"/>
          <w:highlight w:val="none"/>
          <w:lang w:val="en-US" w:eastAsia="zh-CN"/>
        </w:rPr>
      </w:pPr>
      <w:r>
        <w:rPr>
          <w:rFonts w:hint="eastAsia"/>
          <w:color w:val="auto"/>
          <w:highlight w:val="none"/>
          <w:lang w:val="en-US" w:eastAsia="zh-CN"/>
        </w:rPr>
        <w:t>公示期满无异议或异议不成立的，评选结果正式生效。</w:t>
      </w:r>
    </w:p>
    <w:p w14:paraId="0A00D747">
      <w:pPr>
        <w:numPr>
          <w:ilvl w:val="0"/>
          <w:numId w:val="1"/>
        </w:numPr>
        <w:ind w:firstLine="640"/>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表彰颁牌</w:t>
      </w:r>
    </w:p>
    <w:p w14:paraId="636795DD">
      <w:pPr>
        <w:ind w:firstLine="640"/>
        <w:rPr>
          <w:rFonts w:hint="eastAsia"/>
          <w:color w:val="auto"/>
          <w:highlight w:val="none"/>
          <w:lang w:val="en-US" w:eastAsia="zh-CN"/>
        </w:rPr>
      </w:pPr>
      <w:r>
        <w:rPr>
          <w:rFonts w:hint="eastAsia"/>
          <w:color w:val="auto"/>
          <w:highlight w:val="none"/>
          <w:lang w:val="en-US" w:eastAsia="zh-CN"/>
        </w:rPr>
        <w:t>本所对获奖会员单位予以公开表彰，颁发荣誉证书，并通过本所官方网站、官方公众号等渠道进行宣传展示。</w:t>
      </w:r>
    </w:p>
    <w:p w14:paraId="21E683EE">
      <w:pPr>
        <w:ind w:firstLine="640"/>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（七）资格追溯与撤销</w:t>
      </w:r>
    </w:p>
    <w:p w14:paraId="554695EC">
      <w:pPr>
        <w:ind w:firstLine="640"/>
        <w:rPr>
          <w:rFonts w:hint="eastAsia"/>
          <w:color w:val="auto"/>
          <w:highlight w:val="none"/>
          <w:lang w:val="en-US" w:eastAsia="zh-CN"/>
        </w:rPr>
      </w:pPr>
      <w:r>
        <w:rPr>
          <w:rFonts w:hint="eastAsia"/>
          <w:color w:val="auto"/>
          <w:highlight w:val="none"/>
          <w:lang w:val="en-US" w:eastAsia="zh-CN"/>
        </w:rPr>
        <w:t>获奖单位若在获奖后被查实存在申报时隐瞒违法违规情形、提交虚假材料，或者获奖后发生严重影响其获奖资格的违法违规行为的，本所有权撤销其获奖称号，收回荣誉证书，并在本所官方渠道予以通报，同时取消其未来1-3 个年度的参评资格。</w:t>
      </w:r>
    </w:p>
    <w:p w14:paraId="5A8DB2C4">
      <w:pPr>
        <w:pStyle w:val="23"/>
        <w:ind w:firstLine="640"/>
        <w:rPr>
          <w:highlight w:val="none"/>
        </w:rPr>
      </w:pPr>
      <w:r>
        <w:rPr>
          <w:rFonts w:hint="eastAsia"/>
          <w:highlight w:val="none"/>
          <w:lang w:val="en-US" w:eastAsia="zh-CN"/>
        </w:rPr>
        <w:t>五</w:t>
      </w:r>
      <w:r>
        <w:rPr>
          <w:rFonts w:hint="eastAsia"/>
          <w:highlight w:val="none"/>
        </w:rPr>
        <w:t>、评选标准</w:t>
      </w:r>
    </w:p>
    <w:p w14:paraId="0CB4D6FB">
      <w:pPr>
        <w:ind w:firstLine="640"/>
        <w:rPr>
          <w:rFonts w:hint="eastAsia"/>
          <w:color w:val="auto"/>
          <w:highlight w:val="none"/>
          <w:lang w:val="en-US" w:eastAsia="zh-CN"/>
        </w:rPr>
      </w:pPr>
      <w:r>
        <w:rPr>
          <w:rFonts w:hint="eastAsia"/>
          <w:highlight w:val="none"/>
          <w:lang w:val="en-US" w:eastAsia="zh-CN"/>
        </w:rPr>
        <w:t>根据</w:t>
      </w:r>
      <w:r>
        <w:rPr>
          <w:rFonts w:hint="eastAsia"/>
          <w:highlight w:val="none"/>
        </w:rPr>
        <w:t>《深圳</w:t>
      </w:r>
      <w:r>
        <w:rPr>
          <w:rFonts w:hint="eastAsia"/>
          <w:highlight w:val="none"/>
          <w:lang w:val="en-US" w:eastAsia="zh-CN"/>
        </w:rPr>
        <w:t>绿色</w:t>
      </w:r>
      <w:r>
        <w:rPr>
          <w:rFonts w:hint="eastAsia"/>
          <w:highlight w:val="none"/>
        </w:rPr>
        <w:t>交易所优秀会员评选规则》</w:t>
      </w:r>
      <w:r>
        <w:rPr>
          <w:rFonts w:hint="eastAsia"/>
          <w:highlight w:val="none"/>
          <w:lang w:eastAsia="zh-CN"/>
        </w:rPr>
        <w:t>，</w:t>
      </w:r>
      <w:r>
        <w:rPr>
          <w:rFonts w:hint="eastAsia"/>
          <w:highlight w:val="none"/>
          <w:lang w:val="en-US" w:eastAsia="zh-CN"/>
        </w:rPr>
        <w:t>本年度评选标准包含</w:t>
      </w:r>
      <w:r>
        <w:rPr>
          <w:rFonts w:hint="eastAsia"/>
          <w:color w:val="auto"/>
          <w:highlight w:val="none"/>
          <w:lang w:val="en-US" w:eastAsia="zh-CN"/>
        </w:rPr>
        <w:t>商务和技术两部分，商务部分为通用标准，全部评分项适用于参与评选活动的全体会员。技术部分为专项标准，评分项适用范围详见各类奖项评分标准。</w:t>
      </w:r>
    </w:p>
    <w:p w14:paraId="0D53606A">
      <w:pPr>
        <w:ind w:firstLine="640"/>
        <w:rPr>
          <w:rFonts w:hint="eastAsia"/>
          <w:color w:val="auto"/>
          <w:highlight w:val="none"/>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eastAsia"/>
          <w:color w:val="auto"/>
          <w:highlight w:val="none"/>
          <w:lang w:val="en-US" w:eastAsia="zh-CN"/>
        </w:rPr>
        <w:t>具体标准及评分项如下：</w:t>
      </w:r>
      <w:bookmarkStart w:id="0" w:name="_GoBack"/>
      <w:bookmarkEnd w:id="0"/>
    </w:p>
    <w:tbl>
      <w:tblPr>
        <w:tblStyle w:val="17"/>
        <w:tblpPr w:leftFromText="181" w:rightFromText="181" w:tblpXSpec="center" w:tblpYSpec="center"/>
        <w:tblOverlap w:val="never"/>
        <w:tblW w:w="43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2088"/>
        <w:gridCol w:w="1719"/>
        <w:gridCol w:w="1655"/>
        <w:gridCol w:w="1596"/>
        <w:gridCol w:w="1719"/>
        <w:gridCol w:w="1843"/>
      </w:tblGrid>
      <w:tr w14:paraId="7F35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535" w:type="pct"/>
            <w:gridSpan w:val="2"/>
            <w:vAlign w:val="center"/>
          </w:tcPr>
          <w:p w14:paraId="4EB68A93">
            <w:pPr>
              <w:ind w:firstLine="0" w:firstLineChars="0"/>
              <w:jc w:val="center"/>
              <w:rPr>
                <w:rFonts w:hint="eastAsia" w:ascii="黑体" w:hAnsi="黑体" w:eastAsia="黑体" w:cs="黑体"/>
                <w:b w:val="0"/>
                <w:bCs w:val="0"/>
                <w:color w:val="auto"/>
                <w:sz w:val="24"/>
                <w:szCs w:val="24"/>
                <w:highlight w:val="none"/>
                <w:vertAlign w:val="baseline"/>
                <w:lang w:val="en-US" w:eastAsia="zh-CN"/>
              </w:rPr>
            </w:pPr>
            <w:r>
              <w:rPr>
                <w:rFonts w:hint="eastAsia" w:ascii="黑体" w:hAnsi="黑体" w:eastAsia="黑体" w:cs="黑体"/>
                <w:b w:val="0"/>
                <w:bCs w:val="0"/>
                <w:color w:val="auto"/>
                <w:sz w:val="24"/>
                <w:szCs w:val="24"/>
                <w:highlight w:val="none"/>
                <w:vertAlign w:val="baseline"/>
                <w:lang w:val="en-US" w:eastAsia="zh-CN"/>
              </w:rPr>
              <w:t>评分项</w:t>
            </w:r>
          </w:p>
        </w:tc>
        <w:tc>
          <w:tcPr>
            <w:tcW w:w="698" w:type="pct"/>
            <w:vAlign w:val="center"/>
          </w:tcPr>
          <w:p w14:paraId="05BE9216">
            <w:pPr>
              <w:ind w:firstLine="0" w:firstLineChars="0"/>
              <w:jc w:val="center"/>
              <w:rPr>
                <w:rFonts w:hint="eastAsia" w:ascii="黑体" w:hAnsi="黑体" w:eastAsia="黑体" w:cs="黑体"/>
                <w:b w:val="0"/>
                <w:bCs w:val="0"/>
                <w:color w:val="auto"/>
                <w:sz w:val="24"/>
                <w:szCs w:val="24"/>
                <w:highlight w:val="none"/>
                <w:vertAlign w:val="baseline"/>
                <w:lang w:val="en-US" w:eastAsia="zh-CN"/>
              </w:rPr>
            </w:pPr>
            <w:r>
              <w:rPr>
                <w:rFonts w:hint="eastAsia" w:ascii="黑体" w:hAnsi="黑体" w:eastAsia="黑体" w:cs="黑体"/>
                <w:b w:val="0"/>
                <w:bCs w:val="0"/>
                <w:color w:val="auto"/>
                <w:sz w:val="24"/>
                <w:szCs w:val="24"/>
                <w:highlight w:val="none"/>
                <w:vertAlign w:val="baseline"/>
                <w:lang w:val="en-US" w:eastAsia="zh-CN"/>
              </w:rPr>
              <w:t>优秀会员奖</w:t>
            </w:r>
          </w:p>
        </w:tc>
        <w:tc>
          <w:tcPr>
            <w:tcW w:w="672" w:type="pct"/>
            <w:vAlign w:val="center"/>
          </w:tcPr>
          <w:p w14:paraId="6696C994">
            <w:pPr>
              <w:ind w:firstLine="0" w:firstLineChars="0"/>
              <w:jc w:val="center"/>
              <w:rPr>
                <w:rFonts w:hint="eastAsia" w:ascii="黑体" w:hAnsi="黑体" w:eastAsia="黑体" w:cs="黑体"/>
                <w:b w:val="0"/>
                <w:bCs w:val="0"/>
                <w:color w:val="auto"/>
                <w:sz w:val="24"/>
                <w:szCs w:val="24"/>
                <w:highlight w:val="none"/>
                <w:vertAlign w:val="baseline"/>
                <w:lang w:val="en-US" w:eastAsia="zh-CN"/>
              </w:rPr>
            </w:pPr>
            <w:r>
              <w:rPr>
                <w:rFonts w:hint="eastAsia" w:ascii="黑体" w:hAnsi="黑体" w:eastAsia="黑体" w:cs="黑体"/>
                <w:b w:val="0"/>
                <w:bCs w:val="0"/>
                <w:color w:val="auto"/>
                <w:sz w:val="24"/>
                <w:szCs w:val="24"/>
                <w:highlight w:val="none"/>
                <w:vertAlign w:val="baseline"/>
                <w:lang w:val="en-US" w:eastAsia="zh-CN"/>
              </w:rPr>
              <w:t>交易先锋奖</w:t>
            </w:r>
          </w:p>
        </w:tc>
        <w:tc>
          <w:tcPr>
            <w:tcW w:w="648" w:type="pct"/>
            <w:vAlign w:val="center"/>
          </w:tcPr>
          <w:p w14:paraId="7DFFF4AA">
            <w:pPr>
              <w:ind w:firstLine="0" w:firstLineChars="0"/>
              <w:jc w:val="center"/>
              <w:rPr>
                <w:rFonts w:hint="eastAsia" w:ascii="黑体" w:hAnsi="黑体" w:eastAsia="黑体" w:cs="黑体"/>
                <w:b w:val="0"/>
                <w:bCs w:val="0"/>
                <w:color w:val="auto"/>
                <w:sz w:val="24"/>
                <w:szCs w:val="24"/>
                <w:highlight w:val="none"/>
                <w:vertAlign w:val="baseline"/>
                <w:lang w:val="en-US" w:eastAsia="zh-CN"/>
              </w:rPr>
            </w:pPr>
            <w:r>
              <w:rPr>
                <w:rFonts w:hint="eastAsia" w:ascii="黑体" w:hAnsi="黑体" w:eastAsia="黑体" w:cs="黑体"/>
                <w:b w:val="0"/>
                <w:bCs w:val="0"/>
                <w:color w:val="auto"/>
                <w:sz w:val="24"/>
                <w:szCs w:val="24"/>
                <w:highlight w:val="none"/>
                <w:vertAlign w:val="baseline"/>
                <w:lang w:val="en-US" w:eastAsia="zh-CN"/>
              </w:rPr>
              <w:t>卓越服务奖</w:t>
            </w:r>
          </w:p>
        </w:tc>
        <w:tc>
          <w:tcPr>
            <w:tcW w:w="698" w:type="pct"/>
            <w:vAlign w:val="center"/>
          </w:tcPr>
          <w:p w14:paraId="43119A33">
            <w:pPr>
              <w:ind w:firstLine="0" w:firstLineChars="0"/>
              <w:jc w:val="center"/>
              <w:rPr>
                <w:rFonts w:hint="eastAsia" w:ascii="黑体" w:hAnsi="黑体" w:eastAsia="黑体" w:cs="黑体"/>
                <w:b w:val="0"/>
                <w:bCs w:val="0"/>
                <w:color w:val="auto"/>
                <w:sz w:val="24"/>
                <w:szCs w:val="24"/>
                <w:highlight w:val="none"/>
                <w:vertAlign w:val="baseline"/>
                <w:lang w:val="en-US" w:eastAsia="zh-CN"/>
              </w:rPr>
            </w:pPr>
            <w:r>
              <w:rPr>
                <w:rFonts w:hint="eastAsia" w:ascii="黑体" w:hAnsi="黑体" w:eastAsia="黑体" w:cs="黑体"/>
                <w:b w:val="0"/>
                <w:bCs w:val="0"/>
                <w:color w:val="auto"/>
                <w:sz w:val="24"/>
                <w:szCs w:val="24"/>
                <w:highlight w:val="none"/>
                <w:vertAlign w:val="baseline"/>
                <w:lang w:val="en-US" w:eastAsia="zh-CN"/>
              </w:rPr>
              <w:t>创新实践奖</w:t>
            </w:r>
          </w:p>
        </w:tc>
        <w:tc>
          <w:tcPr>
            <w:tcW w:w="747" w:type="pct"/>
            <w:vAlign w:val="center"/>
          </w:tcPr>
          <w:p w14:paraId="614ECF9F">
            <w:pPr>
              <w:ind w:firstLine="0" w:firstLineChars="0"/>
              <w:jc w:val="center"/>
              <w:rPr>
                <w:rFonts w:hint="eastAsia" w:ascii="黑体" w:hAnsi="黑体" w:eastAsia="黑体" w:cs="黑体"/>
                <w:b w:val="0"/>
                <w:bCs w:val="0"/>
                <w:color w:val="auto"/>
                <w:sz w:val="24"/>
                <w:szCs w:val="24"/>
                <w:highlight w:val="none"/>
                <w:vertAlign w:val="baseline"/>
                <w:lang w:val="en-US" w:eastAsia="zh-CN"/>
              </w:rPr>
            </w:pPr>
            <w:r>
              <w:rPr>
                <w:rFonts w:hint="eastAsia" w:ascii="黑体" w:hAnsi="黑体" w:eastAsia="黑体" w:cs="黑体"/>
                <w:b w:val="0"/>
                <w:bCs w:val="0"/>
                <w:color w:val="auto"/>
                <w:sz w:val="24"/>
                <w:szCs w:val="24"/>
                <w:highlight w:val="none"/>
                <w:vertAlign w:val="baseline"/>
                <w:lang w:val="en-US" w:eastAsia="zh-CN"/>
              </w:rPr>
              <w:t>低碳先锋奖</w:t>
            </w:r>
          </w:p>
        </w:tc>
      </w:tr>
      <w:tr w14:paraId="12BF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687" w:type="pct"/>
            <w:vAlign w:val="center"/>
          </w:tcPr>
          <w:p w14:paraId="5351BB7C">
            <w:pPr>
              <w:ind w:firstLine="0" w:firstLineChars="0"/>
              <w:jc w:val="center"/>
              <w:rPr>
                <w:rFonts w:hint="default"/>
                <w:b/>
                <w:bCs/>
                <w:color w:val="auto"/>
                <w:sz w:val="24"/>
                <w:szCs w:val="24"/>
                <w:highlight w:val="none"/>
                <w:vertAlign w:val="baseline"/>
                <w:lang w:val="en-US" w:eastAsia="zh-CN"/>
              </w:rPr>
            </w:pPr>
            <w:r>
              <w:rPr>
                <w:rFonts w:hint="eastAsia" w:ascii="仿宋_GB2312" w:eastAsia="仿宋_GB2312"/>
                <w:b/>
                <w:bCs/>
                <w:color w:val="auto"/>
                <w:sz w:val="24"/>
                <w:szCs w:val="24"/>
                <w:highlight w:val="none"/>
                <w:vertAlign w:val="baseline"/>
                <w:lang w:val="en-US" w:eastAsia="zh-CN"/>
              </w:rPr>
              <w:t>符合性审查</w:t>
            </w:r>
          </w:p>
        </w:tc>
        <w:tc>
          <w:tcPr>
            <w:tcW w:w="847" w:type="pct"/>
            <w:vAlign w:val="center"/>
          </w:tcPr>
          <w:p w14:paraId="169ADF82">
            <w:pPr>
              <w:ind w:firstLine="0" w:firstLineChars="0"/>
              <w:jc w:val="center"/>
              <w:rPr>
                <w:rFonts w:hint="default" w:ascii="仿宋_GB2312" w:eastAsia="仿宋_GB2312"/>
                <w:b/>
                <w:bCs/>
                <w:color w:val="auto"/>
                <w:sz w:val="24"/>
                <w:szCs w:val="24"/>
                <w:highlight w:val="none"/>
                <w:vertAlign w:val="baseline"/>
                <w:lang w:val="en-US" w:eastAsia="zh-CN"/>
              </w:rPr>
            </w:pPr>
            <w:r>
              <w:rPr>
                <w:rFonts w:hint="default" w:ascii="仿宋_GB2312" w:eastAsia="仿宋_GB2312"/>
                <w:b/>
                <w:bCs/>
                <w:color w:val="auto"/>
                <w:sz w:val="24"/>
                <w:szCs w:val="24"/>
                <w:highlight w:val="none"/>
                <w:vertAlign w:val="baseline"/>
                <w:lang w:val="en-US" w:eastAsia="zh-CN"/>
              </w:rPr>
              <w:t>合规记录安全生产</w:t>
            </w:r>
            <w:r>
              <w:rPr>
                <w:rFonts w:hint="eastAsia" w:ascii="仿宋_GB2312" w:eastAsia="仿宋_GB2312"/>
                <w:b/>
                <w:bCs/>
                <w:color w:val="auto"/>
                <w:sz w:val="24"/>
                <w:szCs w:val="24"/>
                <w:highlight w:val="none"/>
                <w:vertAlign w:val="baseline"/>
                <w:lang w:val="en-US" w:eastAsia="zh-CN"/>
              </w:rPr>
              <w:t>、</w:t>
            </w:r>
            <w:r>
              <w:rPr>
                <w:rFonts w:hint="default" w:ascii="仿宋_GB2312" w:eastAsia="仿宋_GB2312"/>
                <w:b/>
                <w:bCs/>
                <w:color w:val="auto"/>
                <w:sz w:val="24"/>
                <w:szCs w:val="24"/>
                <w:highlight w:val="none"/>
                <w:vertAlign w:val="baseline"/>
                <w:lang w:val="en-US" w:eastAsia="zh-CN"/>
              </w:rPr>
              <w:t>信用状况</w:t>
            </w:r>
            <w:r>
              <w:rPr>
                <w:rFonts w:hint="eastAsia" w:ascii="仿宋_GB2312" w:eastAsia="仿宋_GB2312"/>
                <w:b/>
                <w:bCs/>
                <w:color w:val="auto"/>
                <w:sz w:val="24"/>
                <w:szCs w:val="24"/>
                <w:highlight w:val="none"/>
                <w:vertAlign w:val="baseline"/>
                <w:lang w:val="en-US" w:eastAsia="zh-CN"/>
              </w:rPr>
              <w:t>等</w:t>
            </w:r>
          </w:p>
        </w:tc>
        <w:tc>
          <w:tcPr>
            <w:tcW w:w="3464" w:type="pct"/>
            <w:gridSpan w:val="5"/>
            <w:shd w:val="clear" w:color="auto" w:fill="auto"/>
            <w:vAlign w:val="center"/>
          </w:tcPr>
          <w:p w14:paraId="06FBFC4F">
            <w:pPr>
              <w:ind w:firstLine="0" w:firstLineChars="0"/>
              <w:jc w:val="center"/>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申报单位须同时满足</w:t>
            </w:r>
            <w:r>
              <w:rPr>
                <w:rFonts w:hint="eastAsia"/>
                <w:color w:val="auto"/>
                <w:sz w:val="24"/>
                <w:szCs w:val="24"/>
                <w:highlight w:val="none"/>
                <w:vertAlign w:val="baseline"/>
                <w:lang w:val="en-US" w:eastAsia="zh-CN"/>
              </w:rPr>
              <w:t>评审方案符合性审查的</w:t>
            </w:r>
            <w:r>
              <w:rPr>
                <w:rFonts w:hint="eastAsia" w:ascii="仿宋_GB2312" w:eastAsia="仿宋_GB2312"/>
                <w:color w:val="auto"/>
                <w:sz w:val="24"/>
                <w:szCs w:val="24"/>
                <w:highlight w:val="none"/>
                <w:vertAlign w:val="baseline"/>
                <w:lang w:val="en-US" w:eastAsia="zh-CN"/>
              </w:rPr>
              <w:t>全部条件，方可进入后续评审环节。任一条件不满足的，取消参评资格</w:t>
            </w:r>
            <w:r>
              <w:rPr>
                <w:rFonts w:hint="eastAsia"/>
                <w:color w:val="auto"/>
                <w:sz w:val="24"/>
                <w:szCs w:val="24"/>
                <w:highlight w:val="none"/>
                <w:vertAlign w:val="baseline"/>
                <w:lang w:val="en-US" w:eastAsia="zh-CN"/>
              </w:rPr>
              <w:t>。</w:t>
            </w:r>
          </w:p>
        </w:tc>
      </w:tr>
      <w:tr w14:paraId="214B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687" w:type="pct"/>
            <w:vMerge w:val="restart"/>
            <w:vAlign w:val="center"/>
          </w:tcPr>
          <w:p w14:paraId="723B0774">
            <w:pPr>
              <w:ind w:firstLine="0" w:firstLineChars="0"/>
              <w:jc w:val="center"/>
              <w:rPr>
                <w:rFonts w:hint="eastAsia"/>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商务</w:t>
            </w:r>
            <w:r>
              <w:rPr>
                <w:rFonts w:hint="eastAsia" w:ascii="仿宋_GB2312" w:eastAsia="仿宋_GB2312"/>
                <w:b/>
                <w:bCs/>
                <w:color w:val="auto"/>
                <w:sz w:val="24"/>
                <w:szCs w:val="24"/>
                <w:highlight w:val="none"/>
                <w:vertAlign w:val="baseline"/>
                <w:lang w:val="en-US" w:eastAsia="zh-CN"/>
              </w:rPr>
              <w:t>部分</w:t>
            </w:r>
            <w:r>
              <w:rPr>
                <w:rFonts w:hint="eastAsia" w:ascii="仿宋_GB2312" w:eastAsia="仿宋_GB2312"/>
                <w:b/>
                <w:bCs/>
                <w:color w:val="auto"/>
                <w:sz w:val="24"/>
                <w:szCs w:val="24"/>
                <w:highlight w:val="none"/>
                <w:vertAlign w:val="baseline"/>
                <w:lang w:val="en-US" w:eastAsia="zh-CN"/>
              </w:rPr>
              <w:br w:type="textWrapping"/>
            </w:r>
            <w:r>
              <w:rPr>
                <w:rFonts w:hint="eastAsia" w:ascii="仿宋_GB2312" w:eastAsia="仿宋_GB2312"/>
                <w:b/>
                <w:bCs/>
                <w:color w:val="auto"/>
                <w:sz w:val="24"/>
                <w:szCs w:val="24"/>
                <w:highlight w:val="none"/>
                <w:vertAlign w:val="baseline"/>
                <w:lang w:val="en-US" w:eastAsia="zh-CN"/>
              </w:rPr>
              <w:t>（</w:t>
            </w:r>
            <w:r>
              <w:rPr>
                <w:rFonts w:hint="eastAsia"/>
                <w:b/>
                <w:bCs/>
                <w:color w:val="auto"/>
                <w:sz w:val="24"/>
                <w:szCs w:val="24"/>
                <w:highlight w:val="none"/>
                <w:vertAlign w:val="baseline"/>
                <w:lang w:val="en-US" w:eastAsia="zh-CN"/>
              </w:rPr>
              <w:t>4</w:t>
            </w:r>
            <w:r>
              <w:rPr>
                <w:rFonts w:hint="eastAsia" w:ascii="仿宋_GB2312" w:eastAsia="仿宋_GB2312"/>
                <w:b/>
                <w:bCs/>
                <w:color w:val="auto"/>
                <w:sz w:val="24"/>
                <w:szCs w:val="24"/>
                <w:highlight w:val="none"/>
                <w:vertAlign w:val="baseline"/>
                <w:lang w:val="en-US" w:eastAsia="zh-CN"/>
              </w:rPr>
              <w:t>0%）</w:t>
            </w:r>
          </w:p>
        </w:tc>
        <w:tc>
          <w:tcPr>
            <w:tcW w:w="847" w:type="pct"/>
            <w:vAlign w:val="center"/>
          </w:tcPr>
          <w:p w14:paraId="65FDBA84">
            <w:pPr>
              <w:ind w:firstLine="0" w:firstLineChars="0"/>
              <w:jc w:val="center"/>
              <w:rPr>
                <w:rFonts w:hint="default"/>
                <w:b/>
                <w:bCs/>
                <w:color w:val="auto"/>
                <w:sz w:val="24"/>
                <w:szCs w:val="24"/>
                <w:highlight w:val="none"/>
                <w:vertAlign w:val="baseline"/>
                <w:lang w:val="en-US" w:eastAsia="zh-CN"/>
              </w:rPr>
            </w:pPr>
            <w:r>
              <w:rPr>
                <w:rFonts w:hint="eastAsia" w:ascii="仿宋_GB2312" w:eastAsia="仿宋_GB2312"/>
                <w:b/>
                <w:bCs/>
                <w:color w:val="auto"/>
                <w:sz w:val="24"/>
                <w:szCs w:val="24"/>
                <w:highlight w:val="none"/>
                <w:vertAlign w:val="baseline"/>
                <w:lang w:val="en-US" w:eastAsia="zh-CN"/>
              </w:rPr>
              <w:t>会员资质</w:t>
            </w:r>
          </w:p>
        </w:tc>
        <w:tc>
          <w:tcPr>
            <w:tcW w:w="3464" w:type="pct"/>
            <w:gridSpan w:val="5"/>
            <w:shd w:val="clear" w:color="auto" w:fill="auto"/>
            <w:vAlign w:val="center"/>
          </w:tcPr>
          <w:p w14:paraId="53E40D74">
            <w:pPr>
              <w:ind w:firstLine="0" w:firstLineChars="0"/>
              <w:jc w:val="center"/>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适用</w:t>
            </w:r>
            <w:r>
              <w:rPr>
                <w:rFonts w:hint="eastAsia"/>
                <w:color w:val="auto"/>
                <w:sz w:val="24"/>
                <w:szCs w:val="24"/>
                <w:highlight w:val="none"/>
                <w:vertAlign w:val="baseline"/>
                <w:lang w:val="en-US" w:eastAsia="zh-CN"/>
              </w:rPr>
              <w:t>，</w:t>
            </w:r>
            <w:r>
              <w:rPr>
                <w:rFonts w:hint="eastAsia" w:ascii="仿宋_GB2312" w:eastAsia="仿宋_GB2312"/>
                <w:color w:val="auto"/>
                <w:sz w:val="24"/>
                <w:szCs w:val="24"/>
                <w:highlight w:val="none"/>
                <w:vertAlign w:val="baseline"/>
                <w:lang w:val="en-US" w:eastAsia="zh-CN"/>
              </w:rPr>
              <w:t>权重</w:t>
            </w:r>
            <w:r>
              <w:rPr>
                <w:rFonts w:hint="eastAsia"/>
                <w:color w:val="auto"/>
                <w:sz w:val="24"/>
                <w:szCs w:val="24"/>
                <w:highlight w:val="none"/>
                <w:vertAlign w:val="baseline"/>
                <w:lang w:val="en-US" w:eastAsia="zh-CN"/>
              </w:rPr>
              <w:t>40</w:t>
            </w:r>
            <w:r>
              <w:rPr>
                <w:rFonts w:hint="eastAsia" w:ascii="仿宋_GB2312" w:eastAsia="仿宋_GB2312"/>
                <w:color w:val="auto"/>
                <w:sz w:val="24"/>
                <w:szCs w:val="24"/>
                <w:highlight w:val="none"/>
                <w:vertAlign w:val="baseline"/>
                <w:lang w:val="en-US" w:eastAsia="zh-CN"/>
              </w:rPr>
              <w:t>%</w:t>
            </w:r>
          </w:p>
        </w:tc>
      </w:tr>
      <w:tr w14:paraId="1FC6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687" w:type="pct"/>
            <w:vMerge w:val="continue"/>
            <w:vAlign w:val="center"/>
          </w:tcPr>
          <w:p w14:paraId="1D3BE548">
            <w:pPr>
              <w:ind w:firstLine="0" w:firstLineChars="0"/>
              <w:jc w:val="center"/>
              <w:rPr>
                <w:rFonts w:hint="eastAsia"/>
                <w:b/>
                <w:bCs/>
                <w:color w:val="auto"/>
                <w:sz w:val="24"/>
                <w:szCs w:val="24"/>
                <w:highlight w:val="none"/>
                <w:vertAlign w:val="baseline"/>
                <w:lang w:val="en-US" w:eastAsia="zh-CN"/>
              </w:rPr>
            </w:pPr>
          </w:p>
        </w:tc>
        <w:tc>
          <w:tcPr>
            <w:tcW w:w="847" w:type="pct"/>
            <w:vAlign w:val="center"/>
          </w:tcPr>
          <w:p w14:paraId="2F67E244">
            <w:pPr>
              <w:ind w:firstLine="0" w:firstLineChars="0"/>
              <w:jc w:val="center"/>
              <w:rPr>
                <w:rFonts w:hint="default"/>
                <w:b/>
                <w:bCs/>
                <w:color w:val="auto"/>
                <w:sz w:val="24"/>
                <w:szCs w:val="24"/>
                <w:highlight w:val="none"/>
                <w:vertAlign w:val="baseline"/>
                <w:lang w:val="en-US" w:eastAsia="zh-CN"/>
              </w:rPr>
            </w:pPr>
            <w:r>
              <w:rPr>
                <w:rFonts w:hint="eastAsia" w:ascii="仿宋_GB2312" w:eastAsia="仿宋_GB2312"/>
                <w:b/>
                <w:bCs/>
                <w:color w:val="auto"/>
                <w:sz w:val="24"/>
                <w:szCs w:val="24"/>
                <w:highlight w:val="none"/>
                <w:vertAlign w:val="baseline"/>
                <w:lang w:val="en-US" w:eastAsia="zh-CN"/>
              </w:rPr>
              <w:t>会员荣誉</w:t>
            </w:r>
          </w:p>
        </w:tc>
        <w:tc>
          <w:tcPr>
            <w:tcW w:w="3464" w:type="pct"/>
            <w:gridSpan w:val="5"/>
            <w:shd w:val="clear" w:color="auto" w:fill="auto"/>
            <w:vAlign w:val="center"/>
          </w:tcPr>
          <w:p w14:paraId="455A1AC2">
            <w:pPr>
              <w:ind w:firstLine="0" w:firstLineChars="0"/>
              <w:jc w:val="center"/>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适用</w:t>
            </w:r>
            <w:r>
              <w:rPr>
                <w:rFonts w:hint="eastAsia"/>
                <w:color w:val="auto"/>
                <w:sz w:val="24"/>
                <w:szCs w:val="24"/>
                <w:highlight w:val="none"/>
                <w:vertAlign w:val="baseline"/>
                <w:lang w:val="en-US" w:eastAsia="zh-CN"/>
              </w:rPr>
              <w:t>，</w:t>
            </w:r>
            <w:r>
              <w:rPr>
                <w:rFonts w:hint="eastAsia" w:ascii="仿宋_GB2312" w:eastAsia="仿宋_GB2312"/>
                <w:color w:val="auto"/>
                <w:sz w:val="24"/>
                <w:szCs w:val="24"/>
                <w:highlight w:val="none"/>
                <w:vertAlign w:val="baseline"/>
                <w:lang w:val="en-US" w:eastAsia="zh-CN"/>
              </w:rPr>
              <w:t>权重</w:t>
            </w:r>
            <w:r>
              <w:rPr>
                <w:rFonts w:hint="eastAsia"/>
                <w:color w:val="auto"/>
                <w:sz w:val="24"/>
                <w:szCs w:val="24"/>
                <w:highlight w:val="none"/>
                <w:vertAlign w:val="baseline"/>
                <w:lang w:val="en-US" w:eastAsia="zh-CN"/>
              </w:rPr>
              <w:t>30</w:t>
            </w:r>
            <w:r>
              <w:rPr>
                <w:rFonts w:hint="eastAsia" w:ascii="仿宋_GB2312" w:eastAsia="仿宋_GB2312"/>
                <w:color w:val="auto"/>
                <w:sz w:val="24"/>
                <w:szCs w:val="24"/>
                <w:highlight w:val="none"/>
                <w:vertAlign w:val="baseline"/>
                <w:lang w:val="en-US" w:eastAsia="zh-CN"/>
              </w:rPr>
              <w:t>%</w:t>
            </w:r>
          </w:p>
        </w:tc>
      </w:tr>
      <w:tr w14:paraId="0179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pct"/>
            <w:vMerge w:val="continue"/>
            <w:vAlign w:val="center"/>
          </w:tcPr>
          <w:p w14:paraId="52F12415">
            <w:pPr>
              <w:ind w:firstLine="0" w:firstLineChars="0"/>
              <w:jc w:val="center"/>
              <w:rPr>
                <w:rFonts w:hint="eastAsia"/>
                <w:b/>
                <w:bCs/>
                <w:color w:val="auto"/>
                <w:sz w:val="24"/>
                <w:szCs w:val="24"/>
                <w:highlight w:val="none"/>
                <w:vertAlign w:val="baseline"/>
                <w:lang w:val="en-US" w:eastAsia="zh-CN"/>
              </w:rPr>
            </w:pPr>
          </w:p>
        </w:tc>
        <w:tc>
          <w:tcPr>
            <w:tcW w:w="847" w:type="pct"/>
            <w:shd w:val="clear" w:color="auto" w:fill="auto"/>
            <w:vAlign w:val="center"/>
          </w:tcPr>
          <w:p w14:paraId="1DBC2D8E">
            <w:pPr>
              <w:ind w:firstLine="0" w:firstLineChars="0"/>
              <w:jc w:val="center"/>
              <w:rPr>
                <w:rFonts w:hint="eastAsia" w:ascii="仿宋_GB2312" w:hAnsi="仿宋_GB2312" w:eastAsia="仿宋_GB2312" w:cstheme="minorBidi"/>
                <w:b/>
                <w:bCs/>
                <w:color w:val="auto"/>
                <w:kern w:val="2"/>
                <w:sz w:val="24"/>
                <w:szCs w:val="24"/>
                <w:highlight w:val="none"/>
                <w:vertAlign w:val="baseline"/>
                <w:lang w:val="en-US" w:eastAsia="zh-CN" w:bidi="ar-SA"/>
                <w14:ligatures w14:val="standardContextual"/>
              </w:rPr>
            </w:pPr>
            <w:r>
              <w:rPr>
                <w:rFonts w:hint="eastAsia" w:ascii="仿宋_GB2312" w:eastAsia="仿宋_GB2312"/>
                <w:b/>
                <w:bCs/>
                <w:color w:val="auto"/>
                <w:sz w:val="24"/>
                <w:szCs w:val="24"/>
                <w:highlight w:val="none"/>
                <w:vertAlign w:val="baseline"/>
                <w:lang w:val="en-US" w:eastAsia="zh-CN"/>
              </w:rPr>
              <w:t>团队专业性</w:t>
            </w:r>
          </w:p>
        </w:tc>
        <w:tc>
          <w:tcPr>
            <w:tcW w:w="3464" w:type="pct"/>
            <w:gridSpan w:val="5"/>
            <w:shd w:val="clear" w:color="auto" w:fill="auto"/>
            <w:vAlign w:val="center"/>
          </w:tcPr>
          <w:p w14:paraId="02915B04">
            <w:pPr>
              <w:ind w:firstLine="0" w:firstLineChars="0"/>
              <w:jc w:val="center"/>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适用</w:t>
            </w:r>
            <w:r>
              <w:rPr>
                <w:rFonts w:hint="eastAsia"/>
                <w:color w:val="auto"/>
                <w:sz w:val="24"/>
                <w:szCs w:val="24"/>
                <w:highlight w:val="none"/>
                <w:vertAlign w:val="baseline"/>
                <w:lang w:val="en-US" w:eastAsia="zh-CN"/>
              </w:rPr>
              <w:t>，</w:t>
            </w:r>
            <w:r>
              <w:rPr>
                <w:rFonts w:hint="eastAsia" w:ascii="仿宋_GB2312" w:eastAsia="仿宋_GB2312"/>
                <w:color w:val="auto"/>
                <w:sz w:val="24"/>
                <w:szCs w:val="24"/>
                <w:highlight w:val="none"/>
                <w:vertAlign w:val="baseline"/>
                <w:lang w:val="en-US" w:eastAsia="zh-CN"/>
              </w:rPr>
              <w:t>权重</w:t>
            </w:r>
            <w:r>
              <w:rPr>
                <w:rFonts w:hint="eastAsia"/>
                <w:color w:val="auto"/>
                <w:sz w:val="24"/>
                <w:szCs w:val="24"/>
                <w:highlight w:val="none"/>
                <w:vertAlign w:val="baseline"/>
                <w:lang w:val="en-US" w:eastAsia="zh-CN"/>
              </w:rPr>
              <w:t>30</w:t>
            </w:r>
            <w:r>
              <w:rPr>
                <w:rFonts w:hint="eastAsia" w:ascii="仿宋_GB2312" w:eastAsia="仿宋_GB2312"/>
                <w:color w:val="auto"/>
                <w:sz w:val="24"/>
                <w:szCs w:val="24"/>
                <w:highlight w:val="none"/>
                <w:vertAlign w:val="baseline"/>
                <w:lang w:val="en-US" w:eastAsia="zh-CN"/>
              </w:rPr>
              <w:t>%</w:t>
            </w:r>
          </w:p>
        </w:tc>
      </w:tr>
      <w:tr w14:paraId="211E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687" w:type="pct"/>
            <w:vMerge w:val="restart"/>
            <w:vAlign w:val="center"/>
          </w:tcPr>
          <w:p w14:paraId="656E36FF">
            <w:pPr>
              <w:ind w:firstLine="0" w:firstLineChars="0"/>
              <w:jc w:val="center"/>
              <w:rPr>
                <w:rFonts w:hint="default"/>
                <w:b/>
                <w:bCs/>
                <w:color w:val="auto"/>
                <w:sz w:val="24"/>
                <w:szCs w:val="24"/>
                <w:highlight w:val="none"/>
                <w:vertAlign w:val="baseline"/>
                <w:lang w:val="en-US" w:eastAsia="zh-CN"/>
              </w:rPr>
            </w:pPr>
            <w:r>
              <w:rPr>
                <w:rFonts w:hint="eastAsia" w:ascii="仿宋_GB2312" w:eastAsia="仿宋_GB2312"/>
                <w:b/>
                <w:bCs/>
                <w:color w:val="auto"/>
                <w:sz w:val="24"/>
                <w:szCs w:val="24"/>
                <w:highlight w:val="none"/>
                <w:vertAlign w:val="baseline"/>
                <w:lang w:val="en-US" w:eastAsia="zh-CN"/>
              </w:rPr>
              <w:t>技术部分</w:t>
            </w:r>
            <w:r>
              <w:rPr>
                <w:rFonts w:hint="eastAsia" w:ascii="仿宋_GB2312" w:eastAsia="仿宋_GB2312"/>
                <w:b/>
                <w:bCs/>
                <w:color w:val="auto"/>
                <w:sz w:val="24"/>
                <w:szCs w:val="24"/>
                <w:highlight w:val="none"/>
                <w:vertAlign w:val="baseline"/>
                <w:lang w:val="en-US" w:eastAsia="zh-CN"/>
              </w:rPr>
              <w:br w:type="textWrapping"/>
            </w:r>
            <w:r>
              <w:rPr>
                <w:rFonts w:hint="eastAsia" w:ascii="仿宋_GB2312" w:eastAsia="仿宋_GB2312"/>
                <w:b/>
                <w:bCs/>
                <w:color w:val="auto"/>
                <w:sz w:val="24"/>
                <w:szCs w:val="24"/>
                <w:highlight w:val="none"/>
                <w:vertAlign w:val="baseline"/>
                <w:lang w:val="en-US" w:eastAsia="zh-CN"/>
              </w:rPr>
              <w:t>（60%）</w:t>
            </w:r>
          </w:p>
        </w:tc>
        <w:tc>
          <w:tcPr>
            <w:tcW w:w="847" w:type="pct"/>
            <w:vAlign w:val="center"/>
          </w:tcPr>
          <w:p w14:paraId="2E1C5D7D">
            <w:pPr>
              <w:ind w:firstLine="0" w:firstLineChars="0"/>
              <w:jc w:val="center"/>
              <w:rPr>
                <w:rFonts w:hint="default"/>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交易</w:t>
            </w:r>
            <w:r>
              <w:rPr>
                <w:rFonts w:hint="eastAsia" w:ascii="仿宋_GB2312" w:eastAsia="仿宋_GB2312"/>
                <w:b/>
                <w:bCs/>
                <w:color w:val="auto"/>
                <w:sz w:val="24"/>
                <w:szCs w:val="24"/>
                <w:highlight w:val="none"/>
                <w:vertAlign w:val="baseline"/>
                <w:lang w:val="en-US" w:eastAsia="zh-CN"/>
              </w:rPr>
              <w:t>规模</w:t>
            </w:r>
          </w:p>
        </w:tc>
        <w:tc>
          <w:tcPr>
            <w:tcW w:w="698" w:type="pct"/>
            <w:vAlign w:val="center"/>
          </w:tcPr>
          <w:p w14:paraId="38A56AF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适用</w:t>
            </w:r>
            <w:r>
              <w:rPr>
                <w:rFonts w:hint="eastAsia"/>
                <w:color w:val="auto"/>
                <w:sz w:val="24"/>
                <w:szCs w:val="24"/>
                <w:highlight w:val="none"/>
                <w:vertAlign w:val="baseline"/>
                <w:lang w:val="en-US" w:eastAsia="zh-CN"/>
              </w:rPr>
              <w:t>，</w:t>
            </w:r>
          </w:p>
          <w:p w14:paraId="3FB834F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权重</w:t>
            </w:r>
            <w:r>
              <w:rPr>
                <w:rFonts w:hint="eastAsia"/>
                <w:color w:val="auto"/>
                <w:sz w:val="24"/>
                <w:szCs w:val="24"/>
                <w:highlight w:val="none"/>
                <w:vertAlign w:val="baseline"/>
                <w:lang w:val="en-US" w:eastAsia="zh-CN"/>
              </w:rPr>
              <w:t>40</w:t>
            </w:r>
            <w:r>
              <w:rPr>
                <w:rFonts w:hint="eastAsia" w:ascii="仿宋_GB2312" w:eastAsia="仿宋_GB2312"/>
                <w:color w:val="auto"/>
                <w:sz w:val="24"/>
                <w:szCs w:val="24"/>
                <w:highlight w:val="none"/>
                <w:vertAlign w:val="baseline"/>
                <w:lang w:val="en-US" w:eastAsia="zh-CN"/>
              </w:rPr>
              <w:t>%</w:t>
            </w:r>
          </w:p>
        </w:tc>
        <w:tc>
          <w:tcPr>
            <w:tcW w:w="672" w:type="pct"/>
            <w:vAlign w:val="center"/>
          </w:tcPr>
          <w:p w14:paraId="788580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适用</w:t>
            </w:r>
            <w:r>
              <w:rPr>
                <w:rFonts w:hint="eastAsia"/>
                <w:color w:val="auto"/>
                <w:sz w:val="24"/>
                <w:szCs w:val="24"/>
                <w:highlight w:val="none"/>
                <w:vertAlign w:val="baseline"/>
                <w:lang w:val="en-US" w:eastAsia="zh-CN"/>
              </w:rPr>
              <w:t>，</w:t>
            </w:r>
          </w:p>
          <w:p w14:paraId="05FDF7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权重</w:t>
            </w:r>
            <w:r>
              <w:rPr>
                <w:rFonts w:hint="eastAsia"/>
                <w:color w:val="auto"/>
                <w:sz w:val="24"/>
                <w:szCs w:val="24"/>
                <w:highlight w:val="none"/>
                <w:vertAlign w:val="baseline"/>
                <w:lang w:val="en-US" w:eastAsia="zh-CN"/>
              </w:rPr>
              <w:t>100</w:t>
            </w:r>
            <w:r>
              <w:rPr>
                <w:rFonts w:hint="eastAsia" w:ascii="仿宋_GB2312" w:eastAsia="仿宋_GB2312"/>
                <w:color w:val="auto"/>
                <w:sz w:val="24"/>
                <w:szCs w:val="24"/>
                <w:highlight w:val="none"/>
                <w:vertAlign w:val="baseline"/>
                <w:lang w:val="en-US" w:eastAsia="zh-CN"/>
              </w:rPr>
              <w:t>%</w:t>
            </w:r>
          </w:p>
        </w:tc>
        <w:tc>
          <w:tcPr>
            <w:tcW w:w="648" w:type="pct"/>
            <w:vAlign w:val="center"/>
          </w:tcPr>
          <w:p w14:paraId="0945B4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不适用</w:t>
            </w:r>
          </w:p>
        </w:tc>
        <w:tc>
          <w:tcPr>
            <w:tcW w:w="698" w:type="pct"/>
            <w:vAlign w:val="center"/>
          </w:tcPr>
          <w:p w14:paraId="700BD9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不适用</w:t>
            </w:r>
          </w:p>
        </w:tc>
        <w:tc>
          <w:tcPr>
            <w:tcW w:w="747" w:type="pct"/>
            <w:vAlign w:val="center"/>
          </w:tcPr>
          <w:p w14:paraId="182CE05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不适用</w:t>
            </w:r>
          </w:p>
        </w:tc>
      </w:tr>
      <w:tr w14:paraId="26DC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687" w:type="pct"/>
            <w:vMerge w:val="continue"/>
            <w:vAlign w:val="center"/>
          </w:tcPr>
          <w:p w14:paraId="05031B98">
            <w:pPr>
              <w:ind w:firstLine="0" w:firstLineChars="0"/>
              <w:jc w:val="center"/>
              <w:rPr>
                <w:rFonts w:hint="eastAsia"/>
                <w:b/>
                <w:bCs/>
                <w:color w:val="auto"/>
                <w:sz w:val="24"/>
                <w:szCs w:val="24"/>
                <w:highlight w:val="none"/>
                <w:vertAlign w:val="baseline"/>
                <w:lang w:val="en-US" w:eastAsia="zh-CN"/>
              </w:rPr>
            </w:pPr>
          </w:p>
        </w:tc>
        <w:tc>
          <w:tcPr>
            <w:tcW w:w="847" w:type="pct"/>
            <w:vAlign w:val="center"/>
          </w:tcPr>
          <w:p w14:paraId="2B8CF016">
            <w:pPr>
              <w:ind w:firstLine="0" w:firstLineChars="0"/>
              <w:jc w:val="center"/>
              <w:rPr>
                <w:rFonts w:hint="default"/>
                <w:b/>
                <w:bCs/>
                <w:color w:val="auto"/>
                <w:sz w:val="24"/>
                <w:szCs w:val="24"/>
                <w:highlight w:val="none"/>
                <w:vertAlign w:val="baseline"/>
                <w:lang w:val="en-US" w:eastAsia="zh-CN"/>
              </w:rPr>
            </w:pPr>
            <w:r>
              <w:rPr>
                <w:rFonts w:hint="eastAsia" w:ascii="仿宋_GB2312" w:eastAsia="仿宋_GB2312"/>
                <w:b/>
                <w:bCs/>
                <w:color w:val="auto"/>
                <w:sz w:val="24"/>
                <w:szCs w:val="24"/>
                <w:highlight w:val="none"/>
                <w:vertAlign w:val="baseline"/>
                <w:lang w:val="en-US" w:eastAsia="zh-CN"/>
              </w:rPr>
              <w:t>市场服务</w:t>
            </w:r>
          </w:p>
        </w:tc>
        <w:tc>
          <w:tcPr>
            <w:tcW w:w="698" w:type="pct"/>
            <w:vAlign w:val="center"/>
          </w:tcPr>
          <w:p w14:paraId="6A3ABC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适用</w:t>
            </w:r>
            <w:r>
              <w:rPr>
                <w:rFonts w:hint="eastAsia"/>
                <w:color w:val="auto"/>
                <w:sz w:val="24"/>
                <w:szCs w:val="24"/>
                <w:highlight w:val="none"/>
                <w:vertAlign w:val="baseline"/>
                <w:lang w:val="en-US" w:eastAsia="zh-CN"/>
              </w:rPr>
              <w:t>，</w:t>
            </w:r>
          </w:p>
          <w:p w14:paraId="353C2C3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权重</w:t>
            </w:r>
            <w:r>
              <w:rPr>
                <w:rFonts w:hint="eastAsia"/>
                <w:color w:val="auto"/>
                <w:sz w:val="24"/>
                <w:szCs w:val="24"/>
                <w:highlight w:val="none"/>
                <w:vertAlign w:val="baseline"/>
                <w:lang w:val="en-US" w:eastAsia="zh-CN"/>
              </w:rPr>
              <w:t>30</w:t>
            </w:r>
            <w:r>
              <w:rPr>
                <w:rFonts w:hint="eastAsia" w:ascii="仿宋_GB2312" w:eastAsia="仿宋_GB2312"/>
                <w:color w:val="auto"/>
                <w:sz w:val="24"/>
                <w:szCs w:val="24"/>
                <w:highlight w:val="none"/>
                <w:vertAlign w:val="baseline"/>
                <w:lang w:val="en-US" w:eastAsia="zh-CN"/>
              </w:rPr>
              <w:t>%</w:t>
            </w:r>
          </w:p>
        </w:tc>
        <w:tc>
          <w:tcPr>
            <w:tcW w:w="672" w:type="pct"/>
            <w:vAlign w:val="center"/>
          </w:tcPr>
          <w:p w14:paraId="560F824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不适用</w:t>
            </w:r>
          </w:p>
        </w:tc>
        <w:tc>
          <w:tcPr>
            <w:tcW w:w="648" w:type="pct"/>
            <w:vAlign w:val="center"/>
          </w:tcPr>
          <w:p w14:paraId="59EA7F1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适用</w:t>
            </w:r>
            <w:r>
              <w:rPr>
                <w:rFonts w:hint="eastAsia"/>
                <w:color w:val="auto"/>
                <w:sz w:val="24"/>
                <w:szCs w:val="24"/>
                <w:highlight w:val="none"/>
                <w:vertAlign w:val="baseline"/>
                <w:lang w:val="en-US" w:eastAsia="zh-CN"/>
              </w:rPr>
              <w:t>，</w:t>
            </w:r>
          </w:p>
          <w:p w14:paraId="64E768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权重</w:t>
            </w:r>
            <w:r>
              <w:rPr>
                <w:rFonts w:hint="eastAsia"/>
                <w:color w:val="auto"/>
                <w:sz w:val="24"/>
                <w:szCs w:val="24"/>
                <w:highlight w:val="none"/>
                <w:vertAlign w:val="baseline"/>
                <w:lang w:val="en-US" w:eastAsia="zh-CN"/>
              </w:rPr>
              <w:t>100</w:t>
            </w:r>
            <w:r>
              <w:rPr>
                <w:rFonts w:hint="eastAsia" w:ascii="仿宋_GB2312" w:eastAsia="仿宋_GB2312"/>
                <w:color w:val="auto"/>
                <w:sz w:val="24"/>
                <w:szCs w:val="24"/>
                <w:highlight w:val="none"/>
                <w:vertAlign w:val="baseline"/>
                <w:lang w:val="en-US" w:eastAsia="zh-CN"/>
              </w:rPr>
              <w:t>%</w:t>
            </w:r>
          </w:p>
        </w:tc>
        <w:tc>
          <w:tcPr>
            <w:tcW w:w="698" w:type="pct"/>
            <w:vAlign w:val="center"/>
          </w:tcPr>
          <w:p w14:paraId="1002358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不适用</w:t>
            </w:r>
          </w:p>
        </w:tc>
        <w:tc>
          <w:tcPr>
            <w:tcW w:w="747" w:type="pct"/>
            <w:vAlign w:val="center"/>
          </w:tcPr>
          <w:p w14:paraId="0DA8B0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不适用</w:t>
            </w:r>
          </w:p>
        </w:tc>
      </w:tr>
      <w:tr w14:paraId="7ABA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87" w:type="pct"/>
            <w:vMerge w:val="continue"/>
            <w:vAlign w:val="center"/>
          </w:tcPr>
          <w:p w14:paraId="15B2D9DC">
            <w:pPr>
              <w:ind w:firstLine="0" w:firstLineChars="0"/>
              <w:jc w:val="center"/>
              <w:rPr>
                <w:rFonts w:hint="eastAsia"/>
                <w:b/>
                <w:bCs/>
                <w:color w:val="auto"/>
                <w:sz w:val="24"/>
                <w:szCs w:val="24"/>
                <w:highlight w:val="none"/>
                <w:vertAlign w:val="baseline"/>
                <w:lang w:val="en-US" w:eastAsia="zh-CN"/>
              </w:rPr>
            </w:pPr>
          </w:p>
        </w:tc>
        <w:tc>
          <w:tcPr>
            <w:tcW w:w="847" w:type="pct"/>
            <w:vAlign w:val="center"/>
          </w:tcPr>
          <w:p w14:paraId="5D38EDBA">
            <w:pPr>
              <w:ind w:firstLine="0" w:firstLineChars="0"/>
              <w:jc w:val="center"/>
              <w:rPr>
                <w:rFonts w:hint="default"/>
                <w:b/>
                <w:bCs/>
                <w:color w:val="auto"/>
                <w:sz w:val="24"/>
                <w:szCs w:val="24"/>
                <w:highlight w:val="none"/>
                <w:vertAlign w:val="baseline"/>
                <w:lang w:val="en-US" w:eastAsia="zh-CN"/>
              </w:rPr>
            </w:pPr>
            <w:r>
              <w:rPr>
                <w:rFonts w:hint="eastAsia" w:ascii="仿宋_GB2312" w:eastAsia="仿宋_GB2312"/>
                <w:b/>
                <w:bCs/>
                <w:color w:val="auto"/>
                <w:sz w:val="24"/>
                <w:szCs w:val="24"/>
                <w:highlight w:val="none"/>
                <w:vertAlign w:val="baseline"/>
                <w:lang w:val="en-US" w:eastAsia="zh-CN"/>
              </w:rPr>
              <w:t>创新实践</w:t>
            </w:r>
          </w:p>
        </w:tc>
        <w:tc>
          <w:tcPr>
            <w:tcW w:w="698" w:type="pct"/>
            <w:vAlign w:val="center"/>
          </w:tcPr>
          <w:p w14:paraId="75DB07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适用</w:t>
            </w:r>
            <w:r>
              <w:rPr>
                <w:rFonts w:hint="eastAsia"/>
                <w:color w:val="auto"/>
                <w:sz w:val="24"/>
                <w:szCs w:val="24"/>
                <w:highlight w:val="none"/>
                <w:vertAlign w:val="baseline"/>
                <w:lang w:val="en-US" w:eastAsia="zh-CN"/>
              </w:rPr>
              <w:t>，</w:t>
            </w:r>
            <w:r>
              <w:rPr>
                <w:rFonts w:hint="eastAsia" w:ascii="仿宋_GB2312" w:eastAsia="仿宋_GB2312"/>
                <w:color w:val="auto"/>
                <w:sz w:val="24"/>
                <w:szCs w:val="24"/>
                <w:highlight w:val="none"/>
                <w:vertAlign w:val="baseline"/>
                <w:lang w:val="en-US" w:eastAsia="zh-CN"/>
              </w:rPr>
              <w:t>权重</w:t>
            </w:r>
            <w:r>
              <w:rPr>
                <w:rFonts w:hint="eastAsia"/>
                <w:color w:val="auto"/>
                <w:sz w:val="24"/>
                <w:szCs w:val="24"/>
                <w:highlight w:val="none"/>
                <w:vertAlign w:val="baseline"/>
                <w:lang w:val="en-US" w:eastAsia="zh-CN"/>
              </w:rPr>
              <w:t>30</w:t>
            </w:r>
            <w:r>
              <w:rPr>
                <w:rFonts w:hint="eastAsia" w:ascii="仿宋_GB2312" w:eastAsia="仿宋_GB2312"/>
                <w:color w:val="auto"/>
                <w:sz w:val="24"/>
                <w:szCs w:val="24"/>
                <w:highlight w:val="none"/>
                <w:vertAlign w:val="baseline"/>
                <w:lang w:val="en-US" w:eastAsia="zh-CN"/>
              </w:rPr>
              <w:t>%</w:t>
            </w:r>
          </w:p>
        </w:tc>
        <w:tc>
          <w:tcPr>
            <w:tcW w:w="672" w:type="pct"/>
            <w:vAlign w:val="center"/>
          </w:tcPr>
          <w:p w14:paraId="5EA9974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不适用</w:t>
            </w:r>
          </w:p>
        </w:tc>
        <w:tc>
          <w:tcPr>
            <w:tcW w:w="648" w:type="pct"/>
            <w:vAlign w:val="center"/>
          </w:tcPr>
          <w:p w14:paraId="2D3132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不适用</w:t>
            </w:r>
          </w:p>
        </w:tc>
        <w:tc>
          <w:tcPr>
            <w:tcW w:w="698" w:type="pct"/>
            <w:vAlign w:val="center"/>
          </w:tcPr>
          <w:p w14:paraId="43C9E8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适用</w:t>
            </w:r>
            <w:r>
              <w:rPr>
                <w:rFonts w:hint="eastAsia"/>
                <w:color w:val="auto"/>
                <w:sz w:val="24"/>
                <w:szCs w:val="24"/>
                <w:highlight w:val="none"/>
                <w:vertAlign w:val="baseline"/>
                <w:lang w:val="en-US" w:eastAsia="zh-CN"/>
              </w:rPr>
              <w:t>，</w:t>
            </w:r>
          </w:p>
          <w:p w14:paraId="1B2CE09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权重</w:t>
            </w:r>
            <w:r>
              <w:rPr>
                <w:rFonts w:hint="eastAsia"/>
                <w:color w:val="auto"/>
                <w:sz w:val="24"/>
                <w:szCs w:val="24"/>
                <w:highlight w:val="none"/>
                <w:vertAlign w:val="baseline"/>
                <w:lang w:val="en-US" w:eastAsia="zh-CN"/>
              </w:rPr>
              <w:t>100</w:t>
            </w:r>
            <w:r>
              <w:rPr>
                <w:rFonts w:hint="eastAsia" w:ascii="仿宋_GB2312" w:eastAsia="仿宋_GB2312"/>
                <w:color w:val="auto"/>
                <w:sz w:val="24"/>
                <w:szCs w:val="24"/>
                <w:highlight w:val="none"/>
                <w:vertAlign w:val="baseline"/>
                <w:lang w:val="en-US" w:eastAsia="zh-CN"/>
              </w:rPr>
              <w:t>%</w:t>
            </w:r>
          </w:p>
        </w:tc>
        <w:tc>
          <w:tcPr>
            <w:tcW w:w="747" w:type="pct"/>
            <w:vAlign w:val="center"/>
          </w:tcPr>
          <w:p w14:paraId="780AD51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不适用</w:t>
            </w:r>
          </w:p>
        </w:tc>
      </w:tr>
      <w:tr w14:paraId="70CC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687" w:type="pct"/>
            <w:vMerge w:val="continue"/>
            <w:vAlign w:val="center"/>
          </w:tcPr>
          <w:p w14:paraId="27D00833">
            <w:pPr>
              <w:ind w:firstLine="0" w:firstLineChars="0"/>
              <w:jc w:val="center"/>
              <w:rPr>
                <w:rFonts w:hint="eastAsia"/>
                <w:b/>
                <w:bCs/>
                <w:color w:val="auto"/>
                <w:sz w:val="24"/>
                <w:szCs w:val="24"/>
                <w:highlight w:val="none"/>
                <w:vertAlign w:val="baseline"/>
                <w:lang w:val="en-US" w:eastAsia="zh-CN"/>
              </w:rPr>
            </w:pPr>
          </w:p>
        </w:tc>
        <w:tc>
          <w:tcPr>
            <w:tcW w:w="847" w:type="pct"/>
            <w:vAlign w:val="center"/>
          </w:tcPr>
          <w:p w14:paraId="040B968F">
            <w:pPr>
              <w:ind w:firstLine="0" w:firstLineChars="0"/>
              <w:jc w:val="center"/>
              <w:rPr>
                <w:rFonts w:hint="default" w:ascii="仿宋_GB2312" w:eastAsia="仿宋_GB2312"/>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低碳减排</w:t>
            </w:r>
          </w:p>
        </w:tc>
        <w:tc>
          <w:tcPr>
            <w:tcW w:w="698" w:type="pct"/>
            <w:vAlign w:val="center"/>
          </w:tcPr>
          <w:p w14:paraId="660F8A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不适用</w:t>
            </w:r>
          </w:p>
        </w:tc>
        <w:tc>
          <w:tcPr>
            <w:tcW w:w="672" w:type="pct"/>
            <w:vAlign w:val="center"/>
          </w:tcPr>
          <w:p w14:paraId="663A04C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不适用</w:t>
            </w:r>
          </w:p>
        </w:tc>
        <w:tc>
          <w:tcPr>
            <w:tcW w:w="648" w:type="pct"/>
            <w:vAlign w:val="center"/>
          </w:tcPr>
          <w:p w14:paraId="7835517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不适用</w:t>
            </w:r>
          </w:p>
        </w:tc>
        <w:tc>
          <w:tcPr>
            <w:tcW w:w="698" w:type="pct"/>
            <w:vAlign w:val="center"/>
          </w:tcPr>
          <w:p w14:paraId="0B07345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不适用</w:t>
            </w:r>
          </w:p>
        </w:tc>
        <w:tc>
          <w:tcPr>
            <w:tcW w:w="747" w:type="pct"/>
            <w:vAlign w:val="center"/>
          </w:tcPr>
          <w:p w14:paraId="43693F4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适用</w:t>
            </w:r>
            <w:r>
              <w:rPr>
                <w:rFonts w:hint="eastAsia"/>
                <w:color w:val="auto"/>
                <w:sz w:val="24"/>
                <w:szCs w:val="24"/>
                <w:highlight w:val="none"/>
                <w:vertAlign w:val="baseline"/>
                <w:lang w:val="en-US" w:eastAsia="zh-CN"/>
              </w:rPr>
              <w:t>，</w:t>
            </w:r>
          </w:p>
          <w:p w14:paraId="0E7564D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eastAsia="仿宋_GB2312"/>
                <w:color w:val="auto"/>
                <w:sz w:val="24"/>
                <w:szCs w:val="24"/>
                <w:highlight w:val="none"/>
                <w:vertAlign w:val="baseline"/>
                <w:lang w:val="en-US" w:eastAsia="zh-CN"/>
              </w:rPr>
            </w:pPr>
            <w:r>
              <w:rPr>
                <w:rFonts w:hint="eastAsia" w:ascii="仿宋_GB2312" w:eastAsia="仿宋_GB2312"/>
                <w:color w:val="auto"/>
                <w:sz w:val="24"/>
                <w:szCs w:val="24"/>
                <w:highlight w:val="none"/>
                <w:vertAlign w:val="baseline"/>
                <w:lang w:val="en-US" w:eastAsia="zh-CN"/>
              </w:rPr>
              <w:t>权重</w:t>
            </w:r>
            <w:r>
              <w:rPr>
                <w:rFonts w:hint="eastAsia"/>
                <w:color w:val="auto"/>
                <w:sz w:val="24"/>
                <w:szCs w:val="24"/>
                <w:highlight w:val="none"/>
                <w:vertAlign w:val="baseline"/>
                <w:lang w:val="en-US" w:eastAsia="zh-CN"/>
              </w:rPr>
              <w:t>100</w:t>
            </w:r>
            <w:r>
              <w:rPr>
                <w:rFonts w:hint="eastAsia" w:ascii="仿宋_GB2312" w:eastAsia="仿宋_GB2312"/>
                <w:color w:val="auto"/>
                <w:sz w:val="24"/>
                <w:szCs w:val="24"/>
                <w:highlight w:val="none"/>
                <w:vertAlign w:val="baseline"/>
                <w:lang w:val="en-US" w:eastAsia="zh-CN"/>
              </w:rPr>
              <w:t>%</w:t>
            </w:r>
          </w:p>
        </w:tc>
      </w:tr>
    </w:tbl>
    <w:p w14:paraId="6AA52C5C">
      <w:pPr>
        <w:ind w:firstLine="640"/>
        <w:rPr>
          <w:rFonts w:hint="eastAsia"/>
          <w:highlight w:val="none"/>
        </w:rPr>
      </w:pPr>
    </w:p>
    <w:p w14:paraId="463246DD">
      <w:pPr>
        <w:ind w:firstLine="640"/>
        <w:rPr>
          <w:rFonts w:hint="eastAsia"/>
          <w:highlight w:val="none"/>
        </w:rPr>
        <w:sectPr>
          <w:pgSz w:w="16838" w:h="11906" w:orient="landscape"/>
          <w:pgMar w:top="1800" w:right="1440" w:bottom="1800" w:left="1440" w:header="851" w:footer="992" w:gutter="0"/>
          <w:cols w:space="425" w:num="1"/>
          <w:docGrid w:type="lines" w:linePitch="312" w:charSpace="0"/>
        </w:sectPr>
      </w:pPr>
    </w:p>
    <w:p w14:paraId="087C729B">
      <w:pPr>
        <w:pStyle w:val="26"/>
        <w:numPr>
          <w:ilvl w:val="0"/>
          <w:numId w:val="4"/>
        </w:numPr>
        <w:rPr>
          <w:rFonts w:hint="default"/>
          <w:highlight w:val="none"/>
          <w:lang w:val="en-US" w:eastAsia="zh-CN"/>
        </w:rPr>
      </w:pPr>
      <w:r>
        <w:rPr>
          <w:rFonts w:hint="eastAsia"/>
          <w:highlight w:val="none"/>
          <w:lang w:val="en-US" w:eastAsia="zh-CN"/>
        </w:rPr>
        <w:t>符合性审查</w:t>
      </w:r>
      <w:r>
        <w:rPr>
          <w:rFonts w:hint="default"/>
          <w:highlight w:val="none"/>
          <w:lang w:val="en-US" w:eastAsia="zh-CN"/>
        </w:rPr>
        <w:t>（一票否决项）</w:t>
      </w:r>
    </w:p>
    <w:p w14:paraId="75BBDC61">
      <w:pPr>
        <w:rPr>
          <w:rFonts w:hint="default"/>
          <w:color w:val="auto"/>
          <w:highlight w:val="none"/>
          <w:lang w:val="en-US" w:eastAsia="zh-CN"/>
        </w:rPr>
      </w:pPr>
      <w:r>
        <w:rPr>
          <w:rFonts w:hint="default"/>
          <w:color w:val="auto"/>
          <w:highlight w:val="none"/>
          <w:lang w:val="en-US" w:eastAsia="zh-CN"/>
        </w:rPr>
        <w:t>申报单位须同时满足以下全部条件，方可进入后续评审环节。任一条件不满足的，取消参评资格：</w:t>
      </w:r>
    </w:p>
    <w:p w14:paraId="62A4D9BA">
      <w:pPr>
        <w:rPr>
          <w:rFonts w:hint="default"/>
          <w:color w:val="auto"/>
          <w:highlight w:val="none"/>
          <w:lang w:val="en-US" w:eastAsia="zh-CN"/>
        </w:rPr>
      </w:pPr>
      <w:r>
        <w:rPr>
          <w:rFonts w:hint="eastAsia"/>
          <w:color w:val="auto"/>
          <w:highlight w:val="none"/>
          <w:lang w:val="en-US" w:eastAsia="zh-CN"/>
        </w:rPr>
        <w:t>1.</w:t>
      </w:r>
      <w:r>
        <w:rPr>
          <w:rFonts w:hint="default"/>
          <w:b/>
          <w:bCs/>
          <w:color w:val="auto"/>
          <w:highlight w:val="none"/>
          <w:lang w:val="en-US" w:eastAsia="zh-CN"/>
        </w:rPr>
        <w:t>合规记录</w:t>
      </w:r>
      <w:r>
        <w:rPr>
          <w:rFonts w:hint="default"/>
          <w:color w:val="auto"/>
          <w:highlight w:val="none"/>
          <w:lang w:val="en-US" w:eastAsia="zh-CN"/>
        </w:rPr>
        <w:t>：截至申报日，近3年内（即2023年1月1日至申报日）未在深圳碳市场发生重大违法违规行为，未受到本所通报批评、暂停或取消会员资格等处罚；</w:t>
      </w:r>
    </w:p>
    <w:p w14:paraId="5307CFA2">
      <w:pPr>
        <w:rPr>
          <w:rFonts w:hint="default"/>
          <w:color w:val="auto"/>
          <w:highlight w:val="none"/>
          <w:lang w:val="en-US" w:eastAsia="zh-CN"/>
        </w:rPr>
      </w:pPr>
      <w:r>
        <w:rPr>
          <w:rFonts w:hint="eastAsia"/>
          <w:color w:val="auto"/>
          <w:highlight w:val="none"/>
          <w:lang w:val="en-US" w:eastAsia="zh-CN"/>
        </w:rPr>
        <w:t>2.</w:t>
      </w:r>
      <w:r>
        <w:rPr>
          <w:rFonts w:hint="default"/>
          <w:b/>
          <w:bCs/>
          <w:color w:val="auto"/>
          <w:highlight w:val="none"/>
          <w:lang w:val="en-US" w:eastAsia="zh-CN"/>
        </w:rPr>
        <w:t>监管合规</w:t>
      </w:r>
      <w:r>
        <w:rPr>
          <w:rFonts w:hint="default"/>
          <w:color w:val="auto"/>
          <w:highlight w:val="none"/>
          <w:lang w:val="en-US" w:eastAsia="zh-CN"/>
        </w:rPr>
        <w:t>：近3年内未受到生态环境主管部门或其他相关监管部门的行政处罚（以生效的行政处罚决定书为准）；</w:t>
      </w:r>
    </w:p>
    <w:p w14:paraId="146F1286">
      <w:pPr>
        <w:rPr>
          <w:rFonts w:hint="default"/>
          <w:color w:val="auto"/>
          <w:highlight w:val="none"/>
          <w:lang w:val="en-US" w:eastAsia="zh-CN"/>
        </w:rPr>
      </w:pPr>
      <w:r>
        <w:rPr>
          <w:rFonts w:hint="eastAsia"/>
          <w:color w:val="auto"/>
          <w:highlight w:val="none"/>
          <w:lang w:val="en-US" w:eastAsia="zh-CN"/>
        </w:rPr>
        <w:t>3.</w:t>
      </w:r>
      <w:r>
        <w:rPr>
          <w:rFonts w:hint="default"/>
          <w:b/>
          <w:bCs/>
          <w:color w:val="auto"/>
          <w:highlight w:val="none"/>
          <w:lang w:val="en-US" w:eastAsia="zh-CN"/>
        </w:rPr>
        <w:t>安全生产</w:t>
      </w:r>
      <w:r>
        <w:rPr>
          <w:rFonts w:hint="default"/>
          <w:color w:val="auto"/>
          <w:highlight w:val="none"/>
          <w:lang w:val="en-US" w:eastAsia="zh-CN"/>
        </w:rPr>
        <w:t>：近3年内未发生因本单位责任导致的较大及以上安全生产事故（依据</w:t>
      </w:r>
      <w:r>
        <w:rPr>
          <w:rFonts w:hint="default"/>
          <w:color w:val="auto"/>
          <w:highlight w:val="none"/>
        </w:rPr>
        <w:t>《生产安全事故报告和调查处理规定》</w:t>
      </w:r>
      <w:r>
        <w:rPr>
          <w:rFonts w:hint="default"/>
          <w:color w:val="auto"/>
          <w:highlight w:val="none"/>
          <w:lang w:val="en-US" w:eastAsia="zh-CN"/>
        </w:rPr>
        <w:t>界定</w:t>
      </w:r>
      <w:r>
        <w:rPr>
          <w:rFonts w:hint="eastAsia"/>
          <w:color w:val="auto"/>
          <w:highlight w:val="none"/>
          <w:lang w:val="en-US" w:eastAsia="zh-CN"/>
        </w:rPr>
        <w:t>，以有权机关出具的事故责任认定书为准</w:t>
      </w:r>
      <w:r>
        <w:rPr>
          <w:rFonts w:hint="default"/>
          <w:color w:val="auto"/>
          <w:highlight w:val="none"/>
          <w:lang w:val="en-US" w:eastAsia="zh-CN"/>
        </w:rPr>
        <w:t>）；</w:t>
      </w:r>
    </w:p>
    <w:p w14:paraId="47A7D40D">
      <w:pPr>
        <w:rPr>
          <w:rFonts w:hint="default"/>
          <w:color w:val="auto"/>
          <w:highlight w:val="none"/>
          <w:lang w:val="en-US" w:eastAsia="zh-CN"/>
        </w:rPr>
      </w:pPr>
      <w:r>
        <w:rPr>
          <w:rFonts w:hint="eastAsia"/>
          <w:color w:val="auto"/>
          <w:highlight w:val="none"/>
          <w:lang w:val="en-US" w:eastAsia="zh-CN"/>
        </w:rPr>
        <w:t>4.</w:t>
      </w:r>
      <w:r>
        <w:rPr>
          <w:rFonts w:hint="default"/>
          <w:b/>
          <w:bCs/>
          <w:color w:val="auto"/>
          <w:highlight w:val="none"/>
          <w:lang w:val="en-US" w:eastAsia="zh-CN"/>
        </w:rPr>
        <w:t>信用状况</w:t>
      </w:r>
      <w:r>
        <w:rPr>
          <w:rFonts w:hint="default"/>
          <w:color w:val="auto"/>
          <w:highlight w:val="none"/>
          <w:lang w:val="en-US" w:eastAsia="zh-CN"/>
        </w:rPr>
        <w:t>：未被列入“信用中国”网站失信被执行人名单、重大税收违法案件当事人名单及政府采购严重违法失信行为记录名单；</w:t>
      </w:r>
    </w:p>
    <w:p w14:paraId="297E0F0A">
      <w:pPr>
        <w:rPr>
          <w:rFonts w:hint="default"/>
          <w:color w:val="auto"/>
          <w:highlight w:val="none"/>
          <w:lang w:val="en-US" w:eastAsia="zh-CN"/>
        </w:rPr>
      </w:pPr>
      <w:r>
        <w:rPr>
          <w:rFonts w:hint="eastAsia"/>
          <w:color w:val="auto"/>
          <w:highlight w:val="none"/>
          <w:lang w:val="en-US" w:eastAsia="zh-CN"/>
        </w:rPr>
        <w:t>5.</w:t>
      </w:r>
      <w:r>
        <w:rPr>
          <w:rFonts w:hint="default"/>
          <w:b/>
          <w:bCs/>
          <w:color w:val="auto"/>
          <w:highlight w:val="none"/>
          <w:lang w:val="en-US" w:eastAsia="zh-CN"/>
        </w:rPr>
        <w:t>诚信申报</w:t>
      </w:r>
      <w:r>
        <w:rPr>
          <w:rFonts w:hint="default"/>
          <w:color w:val="auto"/>
          <w:highlight w:val="none"/>
          <w:lang w:val="en-US" w:eastAsia="zh-CN"/>
        </w:rPr>
        <w:t>：申报材料真实、完整、准确，无虚假记载或重大遗漏。</w:t>
      </w:r>
    </w:p>
    <w:p w14:paraId="1C738E26">
      <w:pPr>
        <w:rPr>
          <w:rFonts w:hint="default"/>
          <w:color w:val="auto"/>
          <w:highlight w:val="none"/>
          <w:lang w:val="en-US" w:eastAsia="zh-CN"/>
        </w:rPr>
      </w:pPr>
      <w:r>
        <w:rPr>
          <w:rFonts w:hint="default"/>
          <w:color w:val="auto"/>
          <w:highlight w:val="none"/>
          <w:lang w:val="en-US" w:eastAsia="zh-CN"/>
        </w:rPr>
        <w:t>申报单位须</w:t>
      </w:r>
      <w:r>
        <w:rPr>
          <w:rFonts w:hint="eastAsia"/>
          <w:color w:val="auto"/>
          <w:highlight w:val="none"/>
          <w:lang w:val="en-US" w:eastAsia="zh-CN"/>
        </w:rPr>
        <w:t>提供承诺书（格式自拟）</w:t>
      </w:r>
      <w:r>
        <w:rPr>
          <w:rFonts w:hint="default"/>
          <w:color w:val="auto"/>
          <w:highlight w:val="none"/>
          <w:lang w:val="en-US" w:eastAsia="zh-CN"/>
        </w:rPr>
        <w:t>就上述条件作出书面承诺，并附相关自查说明及佐证材料（如信用报告、合规证明等）。本所有权通过公开渠道核查，</w:t>
      </w:r>
      <w:r>
        <w:rPr>
          <w:rFonts w:ascii="仿宋_GB2312" w:hAnsi="仿宋_GB2312" w:eastAsia="仿宋_GB2312" w:cstheme="minorBidi"/>
          <w:color w:val="auto"/>
          <w:sz w:val="32"/>
          <w:szCs w:val="22"/>
          <w:highlight w:val="none"/>
        </w:rPr>
        <w:t>经查实存在虚假申报、隐瞒重要事实的</w:t>
      </w:r>
      <w:r>
        <w:rPr>
          <w:rFonts w:hint="default"/>
          <w:color w:val="auto"/>
          <w:highlight w:val="none"/>
          <w:lang w:val="en-US" w:eastAsia="zh-CN"/>
        </w:rPr>
        <w:t>，取消本次及下一年度参评资格，并视情况予以通报。</w:t>
      </w:r>
    </w:p>
    <w:p w14:paraId="4FBBB8DD">
      <w:pPr>
        <w:pStyle w:val="26"/>
        <w:rPr>
          <w:rFonts w:hint="default" w:eastAsia="仿宋_GB2312"/>
          <w:highlight w:val="none"/>
          <w:lang w:val="en-US" w:eastAsia="zh-CN"/>
        </w:rPr>
      </w:pPr>
      <w:r>
        <w:rPr>
          <w:rFonts w:hint="eastAsia"/>
          <w:highlight w:val="none"/>
          <w:lang w:val="en-US" w:eastAsia="zh-CN"/>
        </w:rPr>
        <w:t>（二）</w:t>
      </w:r>
      <w:r>
        <w:rPr>
          <w:rFonts w:hint="default"/>
          <w:highlight w:val="none"/>
          <w:lang w:val="en-US" w:eastAsia="zh-CN"/>
        </w:rPr>
        <w:t>商务部分</w:t>
      </w:r>
    </w:p>
    <w:p w14:paraId="5508269B">
      <w:pPr>
        <w:rPr>
          <w:rFonts w:hint="eastAsia"/>
          <w:b/>
          <w:bCs/>
          <w:color w:val="auto"/>
          <w:highlight w:val="none"/>
          <w:lang w:val="en-US" w:eastAsia="zh-CN"/>
        </w:rPr>
      </w:pPr>
      <w:r>
        <w:rPr>
          <w:rFonts w:hint="eastAsia"/>
          <w:b w:val="0"/>
          <w:bCs w:val="0"/>
          <w:color w:val="auto"/>
          <w:highlight w:val="none"/>
          <w:lang w:val="en-US" w:eastAsia="zh-CN"/>
        </w:rPr>
        <w:t>商务部分单项满分100分，按内部权重折算后计入商务部分总分。</w:t>
      </w:r>
    </w:p>
    <w:p w14:paraId="2F201987">
      <w:pPr>
        <w:rPr>
          <w:rFonts w:hint="eastAsia"/>
          <w:b/>
          <w:bCs/>
          <w:color w:val="auto"/>
          <w:highlight w:val="none"/>
        </w:rPr>
      </w:pPr>
      <w:r>
        <w:rPr>
          <w:rFonts w:hint="eastAsia"/>
          <w:b/>
          <w:bCs/>
          <w:color w:val="auto"/>
          <w:highlight w:val="none"/>
          <w:lang w:val="en-US" w:eastAsia="zh-CN"/>
        </w:rPr>
        <w:t>1.会员资质（单项满分100分）</w:t>
      </w:r>
    </w:p>
    <w:p w14:paraId="454EA0EA">
      <w:pPr>
        <w:rPr>
          <w:rFonts w:hint="eastAsia"/>
          <w:color w:val="auto"/>
          <w:highlight w:val="none"/>
          <w:lang w:val="en-US" w:eastAsia="zh-CN"/>
        </w:rPr>
      </w:pPr>
      <w:r>
        <w:rPr>
          <w:rFonts w:hint="eastAsia"/>
          <w:color w:val="auto"/>
          <w:highlight w:val="none"/>
          <w:lang w:val="en-US" w:eastAsia="zh-CN"/>
        </w:rPr>
        <w:t>（1）支持本所各项工作，获得本所会员资格证明，每提供1年度得20分，最高得分60分（以2025年12月31日前已生效的会员资格年度为准）；</w:t>
      </w:r>
    </w:p>
    <w:p w14:paraId="13774AF7">
      <w:pPr>
        <w:rPr>
          <w:rFonts w:hint="default"/>
          <w:color w:val="auto"/>
          <w:highlight w:val="none"/>
          <w:lang w:val="en-US" w:eastAsia="zh-CN"/>
        </w:rPr>
      </w:pPr>
      <w:r>
        <w:rPr>
          <w:rFonts w:hint="eastAsia"/>
          <w:color w:val="auto"/>
          <w:highlight w:val="none"/>
          <w:lang w:val="en-US" w:eastAsia="zh-CN"/>
        </w:rPr>
        <w:t>（2）有同类市场相关会员资格证明，每提供1个得10分，最高得分40分。</w:t>
      </w:r>
    </w:p>
    <w:p w14:paraId="72B775D8">
      <w:pPr>
        <w:ind w:firstLine="640"/>
        <w:rPr>
          <w:rFonts w:hint="eastAsia"/>
          <w:b/>
          <w:bCs/>
          <w:color w:val="auto"/>
          <w:highlight w:val="none"/>
          <w:lang w:val="en-US" w:eastAsia="zh-CN"/>
        </w:rPr>
      </w:pPr>
      <w:r>
        <w:rPr>
          <w:rFonts w:hint="eastAsia"/>
          <w:b/>
          <w:bCs/>
          <w:color w:val="auto"/>
          <w:highlight w:val="none"/>
          <w:lang w:val="en-US" w:eastAsia="zh-CN"/>
        </w:rPr>
        <w:t>2.会员荣誉（单项满分100分）</w:t>
      </w:r>
    </w:p>
    <w:p w14:paraId="41396466">
      <w:pPr>
        <w:ind w:firstLine="640"/>
        <w:rPr>
          <w:rFonts w:hint="eastAsia"/>
          <w:color w:val="auto"/>
          <w:highlight w:val="none"/>
        </w:rPr>
      </w:pPr>
      <w:r>
        <w:rPr>
          <w:rFonts w:hint="eastAsia"/>
          <w:color w:val="auto"/>
          <w:highlight w:val="none"/>
          <w:lang w:val="en-US" w:eastAsia="zh-CN"/>
        </w:rPr>
        <w:t>（1）有同类市场相关业务开展记录，每提供一个得10分，最高得40分</w:t>
      </w:r>
      <w:r>
        <w:rPr>
          <w:rFonts w:hint="eastAsia"/>
          <w:color w:val="auto"/>
          <w:highlight w:val="none"/>
        </w:rPr>
        <w:t>；</w:t>
      </w:r>
    </w:p>
    <w:p w14:paraId="12B7AD8F">
      <w:pPr>
        <w:ind w:firstLine="640"/>
        <w:rPr>
          <w:rFonts w:hint="eastAsia" w:eastAsia="仿宋_GB2312"/>
          <w:color w:val="auto"/>
          <w:highlight w:val="none"/>
          <w:lang w:val="en-US" w:eastAsia="zh-CN"/>
        </w:rPr>
      </w:pPr>
      <w:r>
        <w:rPr>
          <w:rFonts w:hint="eastAsia"/>
          <w:color w:val="auto"/>
          <w:highlight w:val="none"/>
          <w:lang w:val="en-US" w:eastAsia="zh-CN"/>
        </w:rPr>
        <w:t>（2）获得行业内相关奖项，每提供一个得10分，最高得30分；</w:t>
      </w:r>
    </w:p>
    <w:p w14:paraId="572B7838">
      <w:pPr>
        <w:ind w:firstLine="640"/>
        <w:rPr>
          <w:rFonts w:hint="eastAsia"/>
          <w:color w:val="auto"/>
          <w:highlight w:val="none"/>
          <w:lang w:val="en-US" w:eastAsia="zh-CN"/>
        </w:rPr>
      </w:pPr>
      <w:r>
        <w:rPr>
          <w:rFonts w:hint="eastAsia"/>
          <w:color w:val="auto"/>
          <w:highlight w:val="none"/>
          <w:lang w:val="en-US" w:eastAsia="zh-CN"/>
        </w:rPr>
        <w:t>（3）有行业内相关节能降碳相关专利，每提供一个得10分，最高得30分。</w:t>
      </w:r>
    </w:p>
    <w:p w14:paraId="4C80CB46">
      <w:pPr>
        <w:rPr>
          <w:rFonts w:hint="eastAsia" w:eastAsia="仿宋_GB2312"/>
          <w:b/>
          <w:bCs/>
          <w:color w:val="auto"/>
          <w:highlight w:val="none"/>
          <w:lang w:eastAsia="zh-CN"/>
        </w:rPr>
      </w:pPr>
      <w:r>
        <w:rPr>
          <w:rFonts w:hint="eastAsia"/>
          <w:b/>
          <w:bCs/>
          <w:color w:val="auto"/>
          <w:highlight w:val="none"/>
          <w:lang w:val="en-US" w:eastAsia="zh-CN"/>
        </w:rPr>
        <w:t>3.</w:t>
      </w:r>
      <w:r>
        <w:rPr>
          <w:rFonts w:hint="eastAsia"/>
          <w:b/>
          <w:bCs/>
          <w:color w:val="auto"/>
          <w:highlight w:val="none"/>
        </w:rPr>
        <w:t>团队专业性</w:t>
      </w:r>
      <w:r>
        <w:rPr>
          <w:rFonts w:hint="eastAsia"/>
          <w:b/>
          <w:bCs/>
          <w:color w:val="auto"/>
          <w:highlight w:val="none"/>
          <w:lang w:val="en-US" w:eastAsia="zh-CN"/>
        </w:rPr>
        <w:t>（单项满分100分）</w:t>
      </w:r>
    </w:p>
    <w:p w14:paraId="11FD6E07">
      <w:pPr>
        <w:ind w:firstLine="640"/>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团队成员拥有相关专业资质认证，</w:t>
      </w:r>
      <w:r>
        <w:rPr>
          <w:rFonts w:hint="eastAsia"/>
          <w:color w:val="auto"/>
          <w:highlight w:val="none"/>
          <w:lang w:val="en-US" w:eastAsia="zh-CN"/>
        </w:rPr>
        <w:t>每提供1位得10分，最高得分40分</w:t>
      </w:r>
      <w:r>
        <w:rPr>
          <w:rFonts w:hint="eastAsia"/>
          <w:color w:val="auto"/>
          <w:highlight w:val="none"/>
        </w:rPr>
        <w:t>；</w:t>
      </w:r>
    </w:p>
    <w:p w14:paraId="025F0A51">
      <w:pPr>
        <w:ind w:firstLine="640"/>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团队成员拥有</w:t>
      </w:r>
      <w:r>
        <w:rPr>
          <w:rFonts w:hint="eastAsia"/>
          <w:color w:val="auto"/>
          <w:highlight w:val="none"/>
          <w:lang w:val="en-US" w:eastAsia="zh-CN"/>
        </w:rPr>
        <w:t>3</w:t>
      </w:r>
      <w:r>
        <w:rPr>
          <w:rFonts w:hint="eastAsia"/>
          <w:color w:val="auto"/>
          <w:highlight w:val="none"/>
        </w:rPr>
        <w:t>年以上碳交易经验，</w:t>
      </w:r>
      <w:r>
        <w:rPr>
          <w:rFonts w:hint="eastAsia"/>
          <w:color w:val="auto"/>
          <w:highlight w:val="none"/>
          <w:lang w:val="en-US" w:eastAsia="zh-CN"/>
        </w:rPr>
        <w:t>每提供1位得10分，最高得分40分</w:t>
      </w:r>
      <w:r>
        <w:rPr>
          <w:rFonts w:hint="eastAsia"/>
          <w:color w:val="auto"/>
          <w:highlight w:val="none"/>
        </w:rPr>
        <w:t>；</w:t>
      </w:r>
    </w:p>
    <w:p w14:paraId="58E8E903">
      <w:pPr>
        <w:ind w:firstLine="640"/>
        <w:rPr>
          <w:rFonts w:hint="eastAsia"/>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定期开展碳交易培训，</w:t>
      </w:r>
      <w:r>
        <w:rPr>
          <w:rFonts w:hint="eastAsia"/>
          <w:color w:val="auto"/>
          <w:highlight w:val="none"/>
          <w:lang w:val="en-US" w:eastAsia="zh-CN"/>
        </w:rPr>
        <w:t>每提供1个得10分，最高得分20分</w:t>
      </w:r>
      <w:r>
        <w:rPr>
          <w:rFonts w:hint="eastAsia"/>
          <w:color w:val="auto"/>
          <w:highlight w:val="none"/>
        </w:rPr>
        <w:t>。</w:t>
      </w:r>
    </w:p>
    <w:p w14:paraId="31A177E9">
      <w:pPr>
        <w:pStyle w:val="26"/>
        <w:ind w:firstLine="640"/>
        <w:rPr>
          <w:rFonts w:hint="eastAsia" w:eastAsia="楷体_GB2312" w:cstheme="minorBidi"/>
          <w:b w:val="0"/>
          <w:bCs w:val="0"/>
          <w:color w:val="auto"/>
          <w:highlight w:val="none"/>
          <w:lang w:val="en-US" w:eastAsia="zh-CN"/>
        </w:rPr>
      </w:pPr>
      <w:r>
        <w:rPr>
          <w:rFonts w:hint="eastAsia" w:cstheme="minorBidi"/>
          <w:b w:val="0"/>
          <w:bCs w:val="0"/>
          <w:color w:val="auto"/>
          <w:highlight w:val="none"/>
          <w:lang w:val="en-US" w:eastAsia="zh-CN"/>
        </w:rPr>
        <w:t>（三）</w:t>
      </w:r>
      <w:r>
        <w:rPr>
          <w:rFonts w:hint="eastAsia"/>
          <w:highlight w:val="none"/>
          <w:lang w:val="en-US" w:eastAsia="zh-CN"/>
        </w:rPr>
        <w:t>技术部分</w:t>
      </w:r>
    </w:p>
    <w:p w14:paraId="0BA2EEFB">
      <w:pPr>
        <w:rPr>
          <w:rFonts w:hint="eastAsia" w:cstheme="minorBidi"/>
          <w:b w:val="0"/>
          <w:bCs w:val="0"/>
          <w:color w:val="auto"/>
          <w:highlight w:val="none"/>
          <w:lang w:val="en-US" w:eastAsia="zh-CN"/>
        </w:rPr>
      </w:pPr>
      <w:r>
        <w:rPr>
          <w:rFonts w:hint="eastAsia" w:cstheme="minorBidi"/>
          <w:b w:val="0"/>
          <w:bCs w:val="0"/>
          <w:color w:val="auto"/>
          <w:highlight w:val="none"/>
          <w:lang w:val="en-US" w:eastAsia="zh-CN"/>
        </w:rPr>
        <w:t>技术部分单项满分100分，按内部权重折算后计入技术部分总分。</w:t>
      </w:r>
    </w:p>
    <w:p w14:paraId="26FC38ED">
      <w:pPr>
        <w:rPr>
          <w:rFonts w:hint="eastAsia" w:eastAsia="仿宋_GB2312"/>
          <w:b/>
          <w:bCs/>
          <w:color w:val="auto"/>
          <w:highlight w:val="none"/>
          <w:lang w:val="en-US" w:eastAsia="zh-CN"/>
        </w:rPr>
      </w:pPr>
      <w:r>
        <w:rPr>
          <w:rFonts w:hint="eastAsia" w:cstheme="minorBidi"/>
          <w:b/>
          <w:bCs/>
          <w:color w:val="auto"/>
          <w:highlight w:val="none"/>
          <w:lang w:val="en-US" w:eastAsia="zh-CN"/>
        </w:rPr>
        <w:t>1.</w:t>
      </w:r>
      <w:r>
        <w:rPr>
          <w:rFonts w:hint="eastAsia"/>
          <w:b/>
          <w:bCs/>
          <w:color w:val="auto"/>
          <w:highlight w:val="none"/>
          <w:lang w:val="en-US" w:eastAsia="zh-CN"/>
        </w:rPr>
        <w:t>业务规模（单项满分100分）</w:t>
      </w:r>
    </w:p>
    <w:p w14:paraId="2F6CF1CE">
      <w:pPr>
        <w:ind w:firstLine="640"/>
        <w:rPr>
          <w:rFonts w:hint="eastAsia"/>
          <w:color w:val="auto"/>
          <w:highlight w:val="none"/>
        </w:rPr>
      </w:pPr>
      <w:r>
        <w:rPr>
          <w:rFonts w:hint="eastAsia"/>
          <w:color w:val="auto"/>
          <w:highlight w:val="none"/>
          <w:lang w:val="en-US" w:eastAsia="zh-CN"/>
        </w:rPr>
        <w:t>（1）</w:t>
      </w:r>
      <w:r>
        <w:rPr>
          <w:rFonts w:hint="eastAsia"/>
          <w:color w:val="auto"/>
          <w:highlight w:val="none"/>
        </w:rPr>
        <w:t>会员交易量</w:t>
      </w:r>
      <w:r>
        <w:rPr>
          <w:rFonts w:hint="eastAsia"/>
          <w:color w:val="auto"/>
          <w:highlight w:val="none"/>
          <w:lang w:val="en-US" w:eastAsia="zh-CN"/>
        </w:rPr>
        <w:t>超过50万吨得30分</w:t>
      </w:r>
      <w:r>
        <w:rPr>
          <w:rFonts w:hint="eastAsia"/>
          <w:color w:val="auto"/>
          <w:highlight w:val="none"/>
        </w:rPr>
        <w:t>，</w:t>
      </w:r>
      <w:r>
        <w:rPr>
          <w:rFonts w:hint="eastAsia"/>
          <w:color w:val="auto"/>
          <w:highlight w:val="none"/>
          <w:lang w:val="en-US" w:eastAsia="zh-CN"/>
        </w:rPr>
        <w:t>超过10万吨得20分，超过2万吨得10分，最高得分30分</w:t>
      </w:r>
      <w:r>
        <w:rPr>
          <w:rFonts w:hint="eastAsia"/>
          <w:color w:val="auto"/>
          <w:highlight w:val="none"/>
        </w:rPr>
        <w:t>；</w:t>
      </w:r>
    </w:p>
    <w:p w14:paraId="55E0792B">
      <w:pPr>
        <w:ind w:firstLine="640"/>
        <w:rPr>
          <w:rFonts w:hint="eastAsia"/>
          <w:color w:val="auto"/>
          <w:highlight w:val="none"/>
        </w:rPr>
      </w:pPr>
      <w:r>
        <w:rPr>
          <w:rFonts w:hint="eastAsia"/>
          <w:color w:val="auto"/>
          <w:highlight w:val="none"/>
          <w:lang w:val="en-US" w:eastAsia="zh-CN"/>
        </w:rPr>
        <w:t>（2）会员</w:t>
      </w:r>
      <w:r>
        <w:rPr>
          <w:rFonts w:hint="eastAsia"/>
          <w:color w:val="auto"/>
          <w:highlight w:val="none"/>
        </w:rPr>
        <w:t>交易频率</w:t>
      </w:r>
      <w:r>
        <w:rPr>
          <w:rFonts w:hint="eastAsia"/>
          <w:color w:val="auto"/>
          <w:highlight w:val="none"/>
          <w:lang w:val="en-US" w:eastAsia="zh-CN"/>
        </w:rPr>
        <w:t>超过100次得30分，超过50次得20分，超过10次得10分，最高得分30分</w:t>
      </w:r>
      <w:r>
        <w:rPr>
          <w:rFonts w:hint="eastAsia"/>
          <w:color w:val="auto"/>
          <w:highlight w:val="none"/>
        </w:rPr>
        <w:t>；</w:t>
      </w:r>
    </w:p>
    <w:p w14:paraId="3BA1B059">
      <w:pPr>
        <w:ind w:firstLine="640"/>
        <w:rPr>
          <w:rFonts w:hint="default" w:eastAsia="仿宋_GB2312"/>
          <w:color w:val="auto"/>
          <w:highlight w:val="none"/>
          <w:lang w:val="en-US" w:eastAsia="zh-CN"/>
        </w:rPr>
      </w:pPr>
      <w:r>
        <w:rPr>
          <w:rFonts w:hint="eastAsia"/>
          <w:color w:val="auto"/>
          <w:highlight w:val="none"/>
          <w:lang w:val="en-US" w:eastAsia="zh-CN"/>
        </w:rPr>
        <w:t>（3）开展碳资产托管、碳资产回购业务等拓展类业务，得40分。</w:t>
      </w:r>
    </w:p>
    <w:p w14:paraId="36EA026A">
      <w:pPr>
        <w:rPr>
          <w:rFonts w:hint="eastAsia" w:eastAsia="仿宋_GB2312"/>
          <w:b/>
          <w:bCs/>
          <w:color w:val="auto"/>
          <w:highlight w:val="none"/>
          <w:lang w:eastAsia="zh-CN"/>
        </w:rPr>
      </w:pPr>
      <w:r>
        <w:rPr>
          <w:rFonts w:hint="eastAsia"/>
          <w:b/>
          <w:bCs/>
          <w:color w:val="auto"/>
          <w:highlight w:val="none"/>
          <w:lang w:val="en-US" w:eastAsia="zh-CN"/>
        </w:rPr>
        <w:t>2.市场服务（单项满分100分）</w:t>
      </w:r>
    </w:p>
    <w:p w14:paraId="0DF4EDF2">
      <w:pPr>
        <w:ind w:firstLine="640"/>
        <w:rPr>
          <w:rFonts w:hint="eastAsia"/>
          <w:color w:val="auto"/>
          <w:highlight w:val="none"/>
          <w:lang w:val="en-US" w:eastAsia="zh-CN"/>
        </w:rPr>
      </w:pPr>
      <w:r>
        <w:rPr>
          <w:rFonts w:hint="eastAsia"/>
          <w:color w:val="auto"/>
          <w:highlight w:val="none"/>
          <w:lang w:val="en-US" w:eastAsia="zh-CN"/>
        </w:rPr>
        <w:t>（1）会员为企业提供碳市场履约服务，每提供1个得10分，最高得分40分；</w:t>
      </w:r>
    </w:p>
    <w:p w14:paraId="285BF87B">
      <w:pPr>
        <w:ind w:firstLine="640"/>
        <w:rPr>
          <w:rFonts w:hint="eastAsia"/>
          <w:color w:val="auto"/>
          <w:highlight w:val="none"/>
          <w:lang w:val="en-US" w:eastAsia="zh-CN"/>
        </w:rPr>
      </w:pPr>
      <w:r>
        <w:rPr>
          <w:rFonts w:hint="eastAsia"/>
          <w:color w:val="auto"/>
          <w:highlight w:val="none"/>
          <w:lang w:val="en-US" w:eastAsia="zh-CN"/>
        </w:rPr>
        <w:t>（2）会员为企业提供碳资产管理服务，每提供1个得10分，最高得分30分；</w:t>
      </w:r>
    </w:p>
    <w:p w14:paraId="47D9B3FB">
      <w:pPr>
        <w:ind w:firstLine="640"/>
        <w:rPr>
          <w:rFonts w:hint="default"/>
          <w:color w:val="auto"/>
          <w:highlight w:val="none"/>
          <w:lang w:val="en-US" w:eastAsia="zh-CN"/>
        </w:rPr>
      </w:pPr>
      <w:r>
        <w:rPr>
          <w:rFonts w:hint="eastAsia"/>
          <w:color w:val="auto"/>
          <w:highlight w:val="none"/>
          <w:lang w:val="en-US" w:eastAsia="zh-CN"/>
        </w:rPr>
        <w:t>（3）会员为企业提供节能降碳服务，每提供1个得10分，最高得分30分。</w:t>
      </w:r>
    </w:p>
    <w:p w14:paraId="278E0EAB">
      <w:pPr>
        <w:rPr>
          <w:rFonts w:hint="eastAsia" w:eastAsia="仿宋_GB2312"/>
          <w:b/>
          <w:bCs/>
          <w:color w:val="auto"/>
          <w:highlight w:val="none"/>
          <w:lang w:val="en-US" w:eastAsia="zh-CN"/>
        </w:rPr>
      </w:pPr>
      <w:r>
        <w:rPr>
          <w:rFonts w:hint="eastAsia"/>
          <w:b/>
          <w:bCs/>
          <w:color w:val="auto"/>
          <w:highlight w:val="none"/>
          <w:lang w:val="en-US" w:eastAsia="zh-CN"/>
        </w:rPr>
        <w:t>3.创新实践（单项满分100分）</w:t>
      </w:r>
    </w:p>
    <w:p w14:paraId="50D25416">
      <w:pPr>
        <w:ind w:firstLine="640"/>
        <w:rPr>
          <w:rFonts w:hint="eastAsia"/>
          <w:color w:val="auto"/>
          <w:highlight w:val="none"/>
          <w:lang w:val="en-US" w:eastAsia="zh-CN"/>
        </w:rPr>
      </w:pPr>
      <w:r>
        <w:rPr>
          <w:rFonts w:hint="eastAsia"/>
          <w:color w:val="auto"/>
          <w:highlight w:val="none"/>
          <w:lang w:val="en-US" w:eastAsia="zh-CN"/>
        </w:rPr>
        <w:t>（1）会员实施创新项目，每提供1个项目得10分，最高得分40分；</w:t>
      </w:r>
    </w:p>
    <w:p w14:paraId="2B733D09">
      <w:pPr>
        <w:ind w:firstLine="640"/>
        <w:rPr>
          <w:rFonts w:hint="eastAsia"/>
          <w:color w:val="auto"/>
          <w:highlight w:val="none"/>
          <w:lang w:val="en-US" w:eastAsia="zh-CN"/>
        </w:rPr>
      </w:pPr>
      <w:r>
        <w:rPr>
          <w:rFonts w:hint="eastAsia"/>
          <w:color w:val="auto"/>
          <w:highlight w:val="none"/>
          <w:lang w:val="en-US" w:eastAsia="zh-CN"/>
        </w:rPr>
        <w:t>（2）会员参与制定行业标准，每提供1个得10分，最高得分20分；</w:t>
      </w:r>
    </w:p>
    <w:p w14:paraId="64D301DB">
      <w:pPr>
        <w:ind w:firstLine="640"/>
        <w:rPr>
          <w:rFonts w:hint="eastAsia"/>
          <w:color w:val="auto"/>
          <w:highlight w:val="none"/>
          <w:lang w:val="en-US" w:eastAsia="zh-CN"/>
        </w:rPr>
      </w:pPr>
      <w:r>
        <w:rPr>
          <w:rFonts w:hint="eastAsia"/>
          <w:color w:val="auto"/>
          <w:highlight w:val="none"/>
          <w:lang w:val="en-US" w:eastAsia="zh-CN"/>
        </w:rPr>
        <w:t>（3）会员发布行业相关报告，每提供1篇得10分，最高得分30分；</w:t>
      </w:r>
    </w:p>
    <w:p w14:paraId="5E16DB21">
      <w:pPr>
        <w:rPr>
          <w:rFonts w:hint="eastAsia"/>
          <w:color w:val="auto"/>
          <w:highlight w:val="none"/>
          <w:lang w:val="en-US" w:eastAsia="zh-CN"/>
        </w:rPr>
      </w:pPr>
      <w:r>
        <w:rPr>
          <w:rFonts w:hint="eastAsia"/>
          <w:color w:val="auto"/>
          <w:highlight w:val="none"/>
          <w:lang w:val="en-US" w:eastAsia="zh-CN"/>
        </w:rPr>
        <w:t>（4）会员为深圳碳市场提供重要建议并被采纳，每提供1个得10分，最高得分10分。</w:t>
      </w:r>
    </w:p>
    <w:p w14:paraId="3EE2C2C0">
      <w:pPr>
        <w:rPr>
          <w:rFonts w:hint="eastAsia" w:eastAsia="仿宋_GB2312"/>
          <w:b/>
          <w:bCs/>
          <w:color w:val="auto"/>
          <w:highlight w:val="none"/>
          <w:lang w:val="en-US" w:eastAsia="zh-CN"/>
        </w:rPr>
      </w:pPr>
      <w:r>
        <w:rPr>
          <w:rFonts w:hint="eastAsia"/>
          <w:b/>
          <w:bCs/>
          <w:color w:val="auto"/>
          <w:highlight w:val="none"/>
          <w:lang w:val="en-US" w:eastAsia="zh-CN"/>
        </w:rPr>
        <w:t>4.低碳减排（单项满分100分）</w:t>
      </w:r>
    </w:p>
    <w:p w14:paraId="63AA4698">
      <w:pPr>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近3年度完成深圳碳市场履约：202</w:t>
      </w:r>
      <w:r>
        <w:rPr>
          <w:rFonts w:hint="eastAsia"/>
          <w:color w:val="auto"/>
          <w:highlight w:val="none"/>
          <w:lang w:eastAsia="zh-CN"/>
        </w:rPr>
        <w:t>2</w:t>
      </w:r>
      <w:r>
        <w:rPr>
          <w:rFonts w:hint="eastAsia"/>
          <w:color w:val="auto"/>
          <w:highlight w:val="none"/>
        </w:rPr>
        <w:t>、202</w:t>
      </w:r>
      <w:r>
        <w:rPr>
          <w:rFonts w:hint="eastAsia"/>
          <w:color w:val="auto"/>
          <w:highlight w:val="none"/>
          <w:lang w:eastAsia="zh-CN"/>
        </w:rPr>
        <w:t>3</w:t>
      </w:r>
      <w:r>
        <w:rPr>
          <w:rFonts w:hint="eastAsia"/>
          <w:color w:val="auto"/>
          <w:highlight w:val="none"/>
        </w:rPr>
        <w:t>、202</w:t>
      </w:r>
      <w:r>
        <w:rPr>
          <w:rFonts w:hint="eastAsia"/>
          <w:color w:val="auto"/>
          <w:highlight w:val="none"/>
          <w:lang w:eastAsia="zh-CN"/>
        </w:rPr>
        <w:t>4</w:t>
      </w:r>
      <w:r>
        <w:rPr>
          <w:rFonts w:hint="eastAsia"/>
          <w:color w:val="auto"/>
          <w:highlight w:val="none"/>
        </w:rPr>
        <w:t>三个履约年度均按时足额完成配额履约的，</w:t>
      </w:r>
      <w:r>
        <w:rPr>
          <w:rFonts w:hint="eastAsia"/>
          <w:color w:val="auto"/>
          <w:highlight w:val="none"/>
          <w:lang w:val="en-US" w:eastAsia="zh-CN"/>
        </w:rPr>
        <w:t>每完成一个年度得10分，最高得分30分；</w:t>
      </w:r>
    </w:p>
    <w:p w14:paraId="3E66396E">
      <w:pPr>
        <w:rPr>
          <w:rFonts w:hint="eastAsia"/>
          <w:color w:val="auto"/>
          <w:highlight w:val="none"/>
          <w:lang w:val="en-US" w:eastAsia="zh-CN"/>
        </w:rPr>
      </w:pPr>
      <w:r>
        <w:rPr>
          <w:rFonts w:hint="eastAsia"/>
          <w:color w:val="auto"/>
          <w:highlight w:val="none"/>
          <w:lang w:val="en-US" w:eastAsia="zh-CN"/>
        </w:rPr>
        <w:t>（2）</w:t>
      </w:r>
      <w:r>
        <w:rPr>
          <w:rFonts w:hint="eastAsia"/>
          <w:color w:val="auto"/>
          <w:highlight w:val="none"/>
        </w:rPr>
        <w:t>碳减排制度建设与执行：企业建立了系统性的碳排放管理制度或碳资产管理办法</w:t>
      </w:r>
      <w:r>
        <w:rPr>
          <w:rFonts w:hint="eastAsia"/>
          <w:color w:val="auto"/>
          <w:highlight w:val="none"/>
          <w:lang w:eastAsia="zh-CN"/>
        </w:rPr>
        <w:t>，</w:t>
      </w:r>
      <w:r>
        <w:rPr>
          <w:rFonts w:hint="eastAsia"/>
          <w:color w:val="auto"/>
          <w:highlight w:val="none"/>
          <w:lang w:val="en-US" w:eastAsia="zh-CN"/>
        </w:rPr>
        <w:t>每提供1项得10分，最高得分10分；</w:t>
      </w:r>
    </w:p>
    <w:p w14:paraId="07381845">
      <w:pPr>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减排措施的实施情况：企业实施了节能降碳改造、清洁能源替代、工艺优化等减排措施</w:t>
      </w:r>
      <w:r>
        <w:rPr>
          <w:rFonts w:hint="eastAsia"/>
          <w:color w:val="auto"/>
          <w:highlight w:val="none"/>
          <w:lang w:eastAsia="zh-CN"/>
        </w:rPr>
        <w:t>，</w:t>
      </w:r>
      <w:r>
        <w:rPr>
          <w:rFonts w:hint="eastAsia"/>
          <w:color w:val="auto"/>
          <w:highlight w:val="none"/>
          <w:lang w:val="en-US" w:eastAsia="zh-CN"/>
        </w:rPr>
        <w:t>每提供1项得10分，最高得分30分；</w:t>
      </w:r>
    </w:p>
    <w:p w14:paraId="0040CEE6">
      <w:pPr>
        <w:rPr>
          <w:rFonts w:hint="eastAsia"/>
          <w:color w:val="auto"/>
          <w:highlight w:val="none"/>
          <w:lang w:val="en-US" w:eastAsia="zh-CN"/>
        </w:rPr>
      </w:pPr>
      <w:r>
        <w:rPr>
          <w:rFonts w:hint="eastAsia"/>
          <w:color w:val="auto"/>
          <w:highlight w:val="none"/>
          <w:lang w:val="en-US" w:eastAsia="zh-CN"/>
        </w:rPr>
        <w:t>（4）</w:t>
      </w:r>
      <w:r>
        <w:rPr>
          <w:rFonts w:hint="eastAsia"/>
          <w:color w:val="auto"/>
          <w:highlight w:val="none"/>
        </w:rPr>
        <w:t>碳资产管理体系建设：</w:t>
      </w:r>
      <w:r>
        <w:rPr>
          <w:rFonts w:hint="eastAsia"/>
          <w:color w:val="auto"/>
          <w:highlight w:val="none"/>
          <w:lang w:val="en-US" w:eastAsia="zh-CN"/>
        </w:rPr>
        <w:t>企业</w:t>
      </w:r>
      <w:r>
        <w:rPr>
          <w:rFonts w:hint="eastAsia"/>
          <w:color w:val="auto"/>
          <w:highlight w:val="none"/>
        </w:rPr>
        <w:t>建有专门的碳排放管理团队或碳资产管理部门</w:t>
      </w:r>
      <w:r>
        <w:rPr>
          <w:rFonts w:hint="eastAsia"/>
          <w:color w:val="auto"/>
          <w:highlight w:val="none"/>
          <w:lang w:eastAsia="zh-CN"/>
        </w:rPr>
        <w:t>，</w:t>
      </w:r>
      <w:r>
        <w:rPr>
          <w:rFonts w:hint="eastAsia"/>
          <w:color w:val="auto"/>
          <w:highlight w:val="none"/>
        </w:rPr>
        <w:t>建立碳排放数据管理及报告制度的，</w:t>
      </w:r>
      <w:r>
        <w:rPr>
          <w:rFonts w:hint="eastAsia"/>
          <w:color w:val="auto"/>
          <w:highlight w:val="none"/>
          <w:lang w:val="en-US" w:eastAsia="zh-CN"/>
        </w:rPr>
        <w:t>每提供1项得10分，最高得分30分</w:t>
      </w:r>
      <w:r>
        <w:rPr>
          <w:rFonts w:hint="eastAsia"/>
          <w:color w:val="auto"/>
          <w:highlight w:val="none"/>
        </w:rPr>
        <w:t>。</w:t>
      </w:r>
    </w:p>
    <w:p w14:paraId="3C2FFDAD">
      <w:pPr>
        <w:ind w:firstLine="640"/>
        <w:rPr>
          <w:rFonts w:hint="eastAsia"/>
          <w:color w:val="auto"/>
          <w:highlight w:val="none"/>
        </w:rPr>
      </w:pPr>
      <w:r>
        <w:rPr>
          <w:rFonts w:hint="eastAsia"/>
          <w:color w:val="auto"/>
          <w:highlight w:val="none"/>
        </w:rPr>
        <w:t>以上</w:t>
      </w:r>
      <w:r>
        <w:rPr>
          <w:rFonts w:hint="eastAsia"/>
          <w:color w:val="auto"/>
          <w:highlight w:val="none"/>
          <w:lang w:val="en-US" w:eastAsia="zh-CN"/>
        </w:rPr>
        <w:t>评分项</w:t>
      </w:r>
      <w:r>
        <w:rPr>
          <w:rFonts w:hint="eastAsia"/>
          <w:color w:val="auto"/>
          <w:highlight w:val="none"/>
        </w:rPr>
        <w:t>均要求</w:t>
      </w:r>
      <w:r>
        <w:rPr>
          <w:rFonts w:hint="eastAsia"/>
          <w:color w:val="auto"/>
          <w:highlight w:val="none"/>
          <w:lang w:val="en-US" w:eastAsia="zh-CN"/>
        </w:rPr>
        <w:t>提供相关证明材料（扫描件或官方网站截图），</w:t>
      </w:r>
      <w:r>
        <w:rPr>
          <w:rFonts w:hint="eastAsia"/>
          <w:color w:val="auto"/>
          <w:highlight w:val="none"/>
        </w:rPr>
        <w:t>供</w:t>
      </w:r>
      <w:r>
        <w:rPr>
          <w:rFonts w:hint="eastAsia"/>
          <w:color w:val="auto"/>
          <w:highlight w:val="none"/>
          <w:lang w:val="en-US" w:eastAsia="zh-CN"/>
        </w:rPr>
        <w:t>相关</w:t>
      </w:r>
      <w:r>
        <w:rPr>
          <w:rFonts w:hint="eastAsia"/>
          <w:color w:val="auto"/>
          <w:highlight w:val="none"/>
        </w:rPr>
        <w:t>文件及执行记录，可酌情给分</w:t>
      </w:r>
      <w:r>
        <w:rPr>
          <w:rFonts w:hint="eastAsia"/>
          <w:color w:val="auto"/>
          <w:highlight w:val="none"/>
          <w:lang w:val="en-US" w:eastAsia="zh-CN"/>
        </w:rPr>
        <w:t>。评审过程</w:t>
      </w:r>
      <w:r>
        <w:rPr>
          <w:rFonts w:hint="eastAsia"/>
          <w:color w:val="auto"/>
          <w:highlight w:val="none"/>
        </w:rPr>
        <w:t>中出现无证明资料或专家无法凭所提供资料判断是否得分的情况，一律作不得分处理。</w:t>
      </w:r>
    </w:p>
    <w:p w14:paraId="4734D8A8">
      <w:pPr>
        <w:pStyle w:val="23"/>
        <w:ind w:firstLine="640"/>
        <w:rPr>
          <w:rFonts w:hint="eastAsia"/>
          <w:highlight w:val="none"/>
          <w:lang w:val="en-US" w:eastAsia="zh-CN"/>
        </w:rPr>
      </w:pPr>
      <w:r>
        <w:rPr>
          <w:rFonts w:hint="eastAsia"/>
          <w:highlight w:val="none"/>
          <w:lang w:val="en-US" w:eastAsia="zh-CN"/>
        </w:rPr>
        <w:t>六、计分规则与材料要求</w:t>
      </w:r>
    </w:p>
    <w:p w14:paraId="4BFE77F8">
      <w:pPr>
        <w:ind w:firstLine="640"/>
        <w:rPr>
          <w:rFonts w:hint="eastAsia"/>
          <w:color w:val="auto"/>
          <w:highlight w:val="none"/>
          <w:lang w:val="en-US" w:eastAsia="zh-CN"/>
        </w:rPr>
      </w:pPr>
      <w:r>
        <w:rPr>
          <w:rFonts w:hint="eastAsia"/>
          <w:color w:val="auto"/>
          <w:highlight w:val="none"/>
          <w:lang w:val="en-US" w:eastAsia="zh-CN"/>
        </w:rPr>
        <w:t>1.符合性审核（详见本方案第五条第（一）款）为参评资格的前置审查项，不纳入百分制评分体系，其审核结论仅为“通过”或“不通过”。仅通过符合性审核的申报单位，方可进入后续商务部分与技术部分的量化评分环节。未通过符合性审核的单位，直接取消参评资格，不参与计分与排名。</w:t>
      </w:r>
    </w:p>
    <w:p w14:paraId="53A0A2BC">
      <w:pPr>
        <w:ind w:firstLine="640"/>
        <w:rPr>
          <w:rFonts w:hint="eastAsia"/>
          <w:color w:val="auto"/>
          <w:highlight w:val="none"/>
          <w:lang w:val="en-US" w:eastAsia="zh-CN"/>
        </w:rPr>
      </w:pPr>
      <w:r>
        <w:rPr>
          <w:rFonts w:hint="eastAsia"/>
          <w:color w:val="auto"/>
          <w:highlight w:val="none"/>
          <w:lang w:val="en-US" w:eastAsia="zh-CN"/>
        </w:rPr>
        <w:t>2.总分计算公式：</w:t>
      </w:r>
    </w:p>
    <w:p w14:paraId="7018EC09">
      <w:pPr>
        <w:ind w:firstLine="640"/>
        <w:rPr>
          <w:rFonts w:hint="eastAsia"/>
          <w:color w:val="auto"/>
          <w:highlight w:val="none"/>
          <w:lang w:val="en-US" w:eastAsia="zh-CN"/>
        </w:rPr>
      </w:pPr>
      <w:r>
        <w:rPr>
          <w:rFonts w:hint="eastAsia"/>
          <w:color w:val="auto"/>
          <w:highlight w:val="none"/>
          <w:lang w:val="en-US" w:eastAsia="zh-CN"/>
        </w:rPr>
        <w:t>参评单位总得分=商务部分得分×40%+技术部分专项得分×60%，满分100分。</w:t>
      </w:r>
    </w:p>
    <w:p w14:paraId="0CDC7078">
      <w:pPr>
        <w:ind w:firstLine="640"/>
        <w:rPr>
          <w:rFonts w:hint="eastAsia"/>
          <w:color w:val="auto"/>
          <w:highlight w:val="none"/>
          <w:lang w:val="en-US" w:eastAsia="zh-CN"/>
        </w:rPr>
      </w:pPr>
      <w:r>
        <w:rPr>
          <w:rFonts w:hint="eastAsia"/>
          <w:color w:val="auto"/>
          <w:highlight w:val="none"/>
          <w:lang w:val="en-US" w:eastAsia="zh-CN"/>
        </w:rPr>
        <w:t>3.所有评分项均须提供真实、清晰、可核验的证明材料（扫描件、官方网站截图、正式协议或报告等）。评审过程中，如出现无证明资料、证明资料与评分项无关、或专家无法凭所提供资料判断是否满足得分条件的情形，一律作不得分处理。</w:t>
      </w:r>
    </w:p>
    <w:p w14:paraId="3E7A0942">
      <w:pPr>
        <w:ind w:firstLine="640"/>
        <w:rPr>
          <w:rFonts w:hint="eastAsia"/>
          <w:color w:val="auto"/>
          <w:highlight w:val="none"/>
          <w:lang w:val="en-US" w:eastAsia="zh-CN"/>
        </w:rPr>
      </w:pPr>
      <w:r>
        <w:rPr>
          <w:rFonts w:hint="eastAsia"/>
          <w:color w:val="auto"/>
          <w:highlight w:val="none"/>
          <w:lang w:val="en-US" w:eastAsia="zh-CN"/>
        </w:rPr>
        <w:t>4.同一证明资料若可同时满足多个评分项要求，由申报单位在申请表中明确对应关系，可分别计分，由评选委员会根据材料实质判定。</w:t>
      </w:r>
    </w:p>
    <w:p w14:paraId="0D6A07DD">
      <w:pPr>
        <w:pStyle w:val="23"/>
        <w:ind w:firstLine="640"/>
        <w:rPr>
          <w:rFonts w:hint="eastAsia"/>
          <w:highlight w:val="none"/>
          <w:lang w:val="en-US" w:eastAsia="zh-CN"/>
        </w:rPr>
      </w:pPr>
      <w:r>
        <w:rPr>
          <w:rFonts w:hint="eastAsia"/>
          <w:highlight w:val="none"/>
          <w:lang w:val="en-US" w:eastAsia="zh-CN"/>
        </w:rPr>
        <w:t>七</w:t>
      </w:r>
      <w:r>
        <w:rPr>
          <w:rFonts w:hint="eastAsia"/>
          <w:highlight w:val="none"/>
        </w:rPr>
        <w:t>、</w:t>
      </w:r>
      <w:r>
        <w:rPr>
          <w:rFonts w:hint="eastAsia"/>
          <w:highlight w:val="none"/>
          <w:lang w:val="en-US" w:eastAsia="zh-CN"/>
        </w:rPr>
        <w:t>其他事项</w:t>
      </w:r>
    </w:p>
    <w:p w14:paraId="5C2D8048">
      <w:pPr>
        <w:ind w:firstLine="640"/>
        <w:jc w:val="both"/>
        <w:rPr>
          <w:rFonts w:hint="eastAsia" w:ascii="仿宋_GB2312" w:hAnsi="仿宋_GB2312" w:cs="仿宋_GB2312"/>
          <w:szCs w:val="32"/>
          <w:lang w:eastAsia="zh-CN"/>
        </w:rPr>
      </w:pPr>
      <w:r>
        <w:rPr>
          <w:rFonts w:hint="eastAsia" w:ascii="楷体_GB2312" w:hAnsi="楷体_GB2312" w:eastAsia="楷体_GB2312" w:cs="楷体_GB2312"/>
          <w:szCs w:val="32"/>
          <w:lang w:eastAsia="zh-CN"/>
        </w:rPr>
        <w:t>（一）</w:t>
      </w:r>
      <w:r>
        <w:rPr>
          <w:rFonts w:hint="eastAsia" w:ascii="仿宋_GB2312" w:hAnsi="仿宋_GB2312" w:eastAsia="仿宋_GB2312" w:cstheme="minorBidi"/>
          <w:color w:val="auto"/>
          <w:sz w:val="32"/>
          <w:szCs w:val="22"/>
          <w:highlight w:val="none"/>
        </w:rPr>
        <w:t>会员在参评过程中或获奖后经查实存在违法违规、虚假申报情形的，按本方案符合性审查及资格追溯条款处理</w:t>
      </w:r>
      <w:r>
        <w:rPr>
          <w:rFonts w:hint="eastAsia" w:ascii="仿宋_GB2312" w:hAnsi="仿宋_GB2312" w:cs="仿宋_GB2312"/>
          <w:szCs w:val="32"/>
          <w:lang w:eastAsia="zh-CN"/>
        </w:rPr>
        <w:t>；</w:t>
      </w:r>
    </w:p>
    <w:p w14:paraId="11ECAE20">
      <w:pPr>
        <w:ind w:firstLine="640"/>
        <w:jc w:val="both"/>
        <w:rPr>
          <w:rFonts w:hint="eastAsia" w:ascii="仿宋_GB2312" w:hAnsi="仿宋_GB2312" w:cs="仿宋_GB2312"/>
          <w:szCs w:val="32"/>
          <w:lang w:eastAsia="zh-CN"/>
        </w:rPr>
      </w:pPr>
      <w:r>
        <w:rPr>
          <w:rFonts w:hint="eastAsia" w:ascii="楷体_GB2312" w:hAnsi="楷体_GB2312" w:eastAsia="楷体_GB2312" w:cs="楷体_GB2312"/>
          <w:szCs w:val="32"/>
          <w:lang w:eastAsia="zh-CN"/>
        </w:rPr>
        <w:t>（</w:t>
      </w:r>
      <w:r>
        <w:rPr>
          <w:rFonts w:hint="eastAsia" w:ascii="楷体_GB2312" w:hAnsi="楷体_GB2312" w:eastAsia="楷体_GB2312" w:cs="楷体_GB2312"/>
          <w:szCs w:val="32"/>
          <w:lang w:val="en-US" w:eastAsia="zh-CN"/>
        </w:rPr>
        <w:t>二</w:t>
      </w:r>
      <w:r>
        <w:rPr>
          <w:rFonts w:hint="eastAsia" w:ascii="楷体_GB2312" w:hAnsi="楷体_GB2312" w:eastAsia="楷体_GB2312" w:cs="楷体_GB2312"/>
          <w:szCs w:val="32"/>
          <w:lang w:eastAsia="zh-CN"/>
        </w:rPr>
        <w:t>）</w:t>
      </w:r>
      <w:r>
        <w:rPr>
          <w:rFonts w:hint="eastAsia" w:cs="仿宋_GB2312"/>
          <w:szCs w:val="32"/>
          <w:lang w:eastAsia="zh-CN"/>
        </w:rPr>
        <w:t>参与评审的所有工作人员及外部专家均负有保密义务，不得泄露申报单位的商业秘密及评审未公开信息，违者追究相应法律及纪律责任</w:t>
      </w:r>
    </w:p>
    <w:p w14:paraId="32F6AD01">
      <w:pPr>
        <w:ind w:firstLine="640"/>
        <w:jc w:val="both"/>
        <w:rPr>
          <w:rFonts w:ascii="仿宋_GB2312" w:hAnsi="仿宋_GB2312" w:cs="仿宋_GB2312"/>
          <w:szCs w:val="32"/>
          <w:lang w:eastAsia="zh-CN"/>
        </w:rPr>
      </w:pPr>
      <w:r>
        <w:rPr>
          <w:rFonts w:hint="eastAsia" w:ascii="楷体_GB2312" w:hAnsi="楷体_GB2312" w:eastAsia="楷体_GB2312" w:cs="楷体_GB2312"/>
          <w:szCs w:val="32"/>
          <w:lang w:eastAsia="zh-CN"/>
        </w:rPr>
        <w:t>（</w:t>
      </w:r>
      <w:r>
        <w:rPr>
          <w:rFonts w:hint="eastAsia" w:ascii="楷体_GB2312" w:hAnsi="楷体_GB2312" w:eastAsia="楷体_GB2312" w:cs="楷体_GB2312"/>
          <w:szCs w:val="32"/>
          <w:lang w:val="en-US" w:eastAsia="zh-CN"/>
        </w:rPr>
        <w:t>三</w:t>
      </w:r>
      <w:r>
        <w:rPr>
          <w:rFonts w:hint="eastAsia" w:ascii="楷体_GB2312" w:hAnsi="楷体_GB2312" w:eastAsia="楷体_GB2312" w:cs="楷体_GB2312"/>
          <w:szCs w:val="32"/>
          <w:lang w:eastAsia="zh-CN"/>
        </w:rPr>
        <w:t>）</w:t>
      </w:r>
      <w:r>
        <w:rPr>
          <w:rFonts w:ascii="仿宋_GB2312" w:hAnsi="仿宋_GB2312" w:cs="仿宋_GB2312"/>
          <w:szCs w:val="32"/>
          <w:lang w:eastAsia="zh-CN"/>
        </w:rPr>
        <w:t>本</w:t>
      </w:r>
      <w:r>
        <w:rPr>
          <w:rFonts w:hint="eastAsia" w:ascii="仿宋_GB2312" w:hAnsi="仿宋_GB2312" w:cs="仿宋_GB2312"/>
          <w:szCs w:val="32"/>
          <w:lang w:eastAsia="zh-CN"/>
        </w:rPr>
        <w:t>所</w:t>
      </w:r>
      <w:r>
        <w:rPr>
          <w:rFonts w:ascii="仿宋_GB2312" w:hAnsi="仿宋_GB2312" w:cs="仿宋_GB2312"/>
          <w:szCs w:val="32"/>
          <w:lang w:eastAsia="zh-CN"/>
        </w:rPr>
        <w:t>保留对</w:t>
      </w:r>
      <w:r>
        <w:rPr>
          <w:rFonts w:hint="eastAsia" w:ascii="仿宋_GB2312" w:hAnsi="仿宋_GB2312" w:cs="仿宋_GB2312"/>
          <w:szCs w:val="32"/>
          <w:lang w:eastAsia="zh-CN"/>
        </w:rPr>
        <w:t>本</w:t>
      </w:r>
      <w:r>
        <w:rPr>
          <w:rFonts w:hint="eastAsia" w:cs="仿宋_GB2312"/>
          <w:szCs w:val="32"/>
          <w:lang w:val="en-US" w:eastAsia="zh-CN"/>
        </w:rPr>
        <w:t>方案</w:t>
      </w:r>
      <w:r>
        <w:rPr>
          <w:rFonts w:ascii="仿宋_GB2312" w:hAnsi="仿宋_GB2312" w:cs="仿宋_GB2312"/>
          <w:szCs w:val="32"/>
          <w:lang w:eastAsia="zh-CN"/>
        </w:rPr>
        <w:t>的解释权。</w:t>
      </w:r>
    </w:p>
    <w:p w14:paraId="7CA00932">
      <w:pPr>
        <w:ind w:left="0" w:leftChars="0" w:firstLine="0" w:firstLineChars="0"/>
        <w:jc w:val="both"/>
        <w:rPr>
          <w:rFonts w:hint="eastAsia" w:cs="仿宋_GB2312"/>
          <w:szCs w:val="32"/>
          <w:lang w:val="en-US" w:eastAsia="zh-CN"/>
        </w:rPr>
      </w:pPr>
    </w:p>
    <w:p w14:paraId="424D673F">
      <w:pPr>
        <w:ind w:left="0" w:leftChars="0" w:firstLine="0" w:firstLineChars="0"/>
        <w:jc w:val="both"/>
        <w:rPr>
          <w:rFonts w:hint="eastAsia" w:cs="仿宋_GB2312"/>
          <w:szCs w:val="32"/>
          <w:lang w:val="en-US" w:eastAsia="zh-CN"/>
        </w:rPr>
      </w:pPr>
    </w:p>
    <w:p w14:paraId="7D777AC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5E229">
    <w:pPr>
      <w:pStyle w:val="12"/>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73925C">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73925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EC60A">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FDAF5">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DFC37">
    <w:pPr>
      <w:pStyle w:val="1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41C94">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009">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4CD968"/>
    <w:multiLevelType w:val="singleLevel"/>
    <w:tmpl w:val="934CD968"/>
    <w:lvl w:ilvl="0" w:tentative="0">
      <w:start w:val="1"/>
      <w:numFmt w:val="decimal"/>
      <w:lvlText w:val="%1."/>
      <w:lvlJc w:val="left"/>
      <w:pPr>
        <w:ind w:left="425" w:hanging="425"/>
      </w:pPr>
      <w:rPr>
        <w:rFonts w:hint="default"/>
      </w:rPr>
    </w:lvl>
  </w:abstractNum>
  <w:abstractNum w:abstractNumId="1">
    <w:nsid w:val="DFBC9B4D"/>
    <w:multiLevelType w:val="singleLevel"/>
    <w:tmpl w:val="DFBC9B4D"/>
    <w:lvl w:ilvl="0" w:tentative="0">
      <w:start w:val="3"/>
      <w:numFmt w:val="chineseCounting"/>
      <w:suff w:val="nothing"/>
      <w:lvlText w:val="（%1）"/>
      <w:lvlJc w:val="left"/>
      <w:rPr>
        <w:rFonts w:hint="eastAsia"/>
      </w:rPr>
    </w:lvl>
  </w:abstractNum>
  <w:abstractNum w:abstractNumId="2">
    <w:nsid w:val="5AB24A08"/>
    <w:multiLevelType w:val="singleLevel"/>
    <w:tmpl w:val="5AB24A08"/>
    <w:lvl w:ilvl="0" w:tentative="0">
      <w:start w:val="1"/>
      <w:numFmt w:val="decimal"/>
      <w:lvlText w:val="%1."/>
      <w:lvlJc w:val="left"/>
      <w:pPr>
        <w:ind w:left="425" w:hanging="425"/>
      </w:pPr>
      <w:rPr>
        <w:rFonts w:hint="default"/>
      </w:rPr>
    </w:lvl>
  </w:abstractNum>
  <w:abstractNum w:abstractNumId="3">
    <w:nsid w:val="6E60B92E"/>
    <w:multiLevelType w:val="singleLevel"/>
    <w:tmpl w:val="6E60B92E"/>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hMDUxZWUyN2QzNWE2NmMyMDA1NWE3NTNmYjcwYmEifQ=="/>
  </w:docVars>
  <w:rsids>
    <w:rsidRoot w:val="00B803E8"/>
    <w:rsid w:val="0009263D"/>
    <w:rsid w:val="001B55A5"/>
    <w:rsid w:val="002928A3"/>
    <w:rsid w:val="002C03F6"/>
    <w:rsid w:val="0033470B"/>
    <w:rsid w:val="004225B6"/>
    <w:rsid w:val="004D43C7"/>
    <w:rsid w:val="006156DC"/>
    <w:rsid w:val="00637A10"/>
    <w:rsid w:val="00747856"/>
    <w:rsid w:val="00805D7B"/>
    <w:rsid w:val="00821BD0"/>
    <w:rsid w:val="00825EAE"/>
    <w:rsid w:val="008F01AA"/>
    <w:rsid w:val="00B5203C"/>
    <w:rsid w:val="00B803E8"/>
    <w:rsid w:val="00C03FFD"/>
    <w:rsid w:val="00C917C9"/>
    <w:rsid w:val="00D74D14"/>
    <w:rsid w:val="03474DDD"/>
    <w:rsid w:val="040E684C"/>
    <w:rsid w:val="05076474"/>
    <w:rsid w:val="06522B8B"/>
    <w:rsid w:val="07233FD7"/>
    <w:rsid w:val="08AF75E2"/>
    <w:rsid w:val="09B36771"/>
    <w:rsid w:val="0A072481"/>
    <w:rsid w:val="0EB2020F"/>
    <w:rsid w:val="1093553E"/>
    <w:rsid w:val="13EA3CF6"/>
    <w:rsid w:val="15402535"/>
    <w:rsid w:val="16F0290F"/>
    <w:rsid w:val="1A9C4351"/>
    <w:rsid w:val="1B6024ED"/>
    <w:rsid w:val="1C063143"/>
    <w:rsid w:val="1DC8431B"/>
    <w:rsid w:val="20263DCB"/>
    <w:rsid w:val="21B826CD"/>
    <w:rsid w:val="22D726E3"/>
    <w:rsid w:val="2385666A"/>
    <w:rsid w:val="23EC5E3E"/>
    <w:rsid w:val="23F237B5"/>
    <w:rsid w:val="26631897"/>
    <w:rsid w:val="268333FF"/>
    <w:rsid w:val="26881571"/>
    <w:rsid w:val="2B4A1E95"/>
    <w:rsid w:val="2C8E6106"/>
    <w:rsid w:val="2F3A4112"/>
    <w:rsid w:val="30134B5A"/>
    <w:rsid w:val="30397B12"/>
    <w:rsid w:val="30705B08"/>
    <w:rsid w:val="30772F3D"/>
    <w:rsid w:val="31A12417"/>
    <w:rsid w:val="331B601F"/>
    <w:rsid w:val="334F2929"/>
    <w:rsid w:val="36AE7ED9"/>
    <w:rsid w:val="37092568"/>
    <w:rsid w:val="38F07679"/>
    <w:rsid w:val="396A2BCB"/>
    <w:rsid w:val="3A491387"/>
    <w:rsid w:val="3DAD603C"/>
    <w:rsid w:val="3DF23717"/>
    <w:rsid w:val="3E1847FD"/>
    <w:rsid w:val="3E3156A4"/>
    <w:rsid w:val="3EDF21A8"/>
    <w:rsid w:val="3F18460B"/>
    <w:rsid w:val="40CF448B"/>
    <w:rsid w:val="420B5567"/>
    <w:rsid w:val="4379667C"/>
    <w:rsid w:val="44CE46BE"/>
    <w:rsid w:val="48CA33FC"/>
    <w:rsid w:val="491F1A22"/>
    <w:rsid w:val="4C954F21"/>
    <w:rsid w:val="4EA056A9"/>
    <w:rsid w:val="4EEC6E09"/>
    <w:rsid w:val="4F4254B0"/>
    <w:rsid w:val="500D4152"/>
    <w:rsid w:val="51B47276"/>
    <w:rsid w:val="522917DA"/>
    <w:rsid w:val="55223DAE"/>
    <w:rsid w:val="56234670"/>
    <w:rsid w:val="57C455D3"/>
    <w:rsid w:val="593C37A0"/>
    <w:rsid w:val="5B170C07"/>
    <w:rsid w:val="5BCA373A"/>
    <w:rsid w:val="5C3F18E4"/>
    <w:rsid w:val="5CBE528D"/>
    <w:rsid w:val="5CD02168"/>
    <w:rsid w:val="5D44106C"/>
    <w:rsid w:val="5DE740C9"/>
    <w:rsid w:val="5EA5697F"/>
    <w:rsid w:val="5F4607AC"/>
    <w:rsid w:val="62FB2F72"/>
    <w:rsid w:val="663E59EC"/>
    <w:rsid w:val="684A64CD"/>
    <w:rsid w:val="696E76BE"/>
    <w:rsid w:val="69704A47"/>
    <w:rsid w:val="6A634EC8"/>
    <w:rsid w:val="6AB16A41"/>
    <w:rsid w:val="6FD9651F"/>
    <w:rsid w:val="6FEF55EE"/>
    <w:rsid w:val="724D62D0"/>
    <w:rsid w:val="72F841FC"/>
    <w:rsid w:val="73C2395E"/>
    <w:rsid w:val="767B3BE7"/>
    <w:rsid w:val="77C141E0"/>
    <w:rsid w:val="7BD712BD"/>
    <w:rsid w:val="7DE14B95"/>
    <w:rsid w:val="7E804782"/>
    <w:rsid w:val="7E8D3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仿宋_GB2312" w:hAnsi="仿宋_GB2312" w:eastAsia="仿宋_GB2312" w:cstheme="minorBidi"/>
      <w:kern w:val="2"/>
      <w:sz w:val="32"/>
      <w:szCs w:val="22"/>
      <w:lang w:val="en-US" w:eastAsia="zh-CN" w:bidi="ar-SA"/>
      <w14:ligatures w14:val="standardContextual"/>
    </w:rPr>
  </w:style>
  <w:style w:type="paragraph" w:styleId="2">
    <w:name w:val="heading 1"/>
    <w:basedOn w:val="1"/>
    <w:next w:val="1"/>
    <w:link w:val="2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3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3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Cs w:val="32"/>
    </w:rPr>
  </w:style>
  <w:style w:type="paragraph" w:styleId="5">
    <w:name w:val="heading 4"/>
    <w:basedOn w:val="1"/>
    <w:next w:val="1"/>
    <w:link w:val="32"/>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33"/>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rPr>
  </w:style>
  <w:style w:type="paragraph" w:styleId="7">
    <w:name w:val="heading 6"/>
    <w:basedOn w:val="1"/>
    <w:next w:val="1"/>
    <w:link w:val="34"/>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35"/>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6"/>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7"/>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48"/>
    <w:unhideWhenUsed/>
    <w:qFormat/>
    <w:uiPriority w:val="99"/>
    <w:pPr>
      <w:tabs>
        <w:tab w:val="center" w:pos="4153"/>
        <w:tab w:val="right" w:pos="8306"/>
      </w:tabs>
      <w:snapToGrid w:val="0"/>
      <w:spacing w:line="240" w:lineRule="atLeast"/>
      <w:jc w:val="left"/>
    </w:pPr>
    <w:rPr>
      <w:sz w:val="18"/>
      <w:szCs w:val="18"/>
    </w:rPr>
  </w:style>
  <w:style w:type="paragraph" w:styleId="13">
    <w:name w:val="header"/>
    <w:basedOn w:val="1"/>
    <w:link w:val="47"/>
    <w:unhideWhenUsed/>
    <w:qFormat/>
    <w:uiPriority w:val="99"/>
    <w:pPr>
      <w:tabs>
        <w:tab w:val="center" w:pos="4153"/>
        <w:tab w:val="right" w:pos="8306"/>
      </w:tabs>
      <w:snapToGrid w:val="0"/>
      <w:spacing w:line="240" w:lineRule="atLeast"/>
      <w:jc w:val="center"/>
    </w:pPr>
    <w:rPr>
      <w:sz w:val="18"/>
      <w:szCs w:val="18"/>
    </w:rPr>
  </w:style>
  <w:style w:type="paragraph" w:styleId="14">
    <w:name w:val="Subtitle"/>
    <w:basedOn w:val="1"/>
    <w:next w:val="1"/>
    <w:link w:val="39"/>
    <w:qFormat/>
    <w:uiPriority w:val="11"/>
    <w:pPr>
      <w:spacing w:after="160"/>
      <w:ind w:firstLine="200" w:firstLineChars="20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rPr>
  </w:style>
  <w:style w:type="paragraph" w:customStyle="1" w:styleId="20">
    <w:name w:val="大标题"/>
    <w:link w:val="21"/>
    <w:qFormat/>
    <w:uiPriority w:val="0"/>
    <w:pPr>
      <w:spacing w:line="560" w:lineRule="exact"/>
      <w:jc w:val="center"/>
      <w:outlineLvl w:val="0"/>
    </w:pPr>
    <w:rPr>
      <w:rFonts w:ascii="方正小标宋简体" w:hAnsi="方正小标宋简体" w:eastAsia="方正小标宋简体" w:cstheme="minorBidi"/>
      <w:kern w:val="2"/>
      <w:sz w:val="44"/>
      <w:szCs w:val="22"/>
      <w:lang w:val="en-US" w:eastAsia="zh-CN" w:bidi="ar-SA"/>
      <w14:ligatures w14:val="standardContextual"/>
    </w:rPr>
  </w:style>
  <w:style w:type="character" w:customStyle="1" w:styleId="21">
    <w:name w:val="大标题 字符"/>
    <w:basedOn w:val="18"/>
    <w:link w:val="20"/>
    <w:qFormat/>
    <w:uiPriority w:val="0"/>
    <w:rPr>
      <w:rFonts w:ascii="方正小标宋简体" w:hAnsi="方正小标宋简体" w:eastAsia="方正小标宋简体"/>
      <w:sz w:val="44"/>
    </w:rPr>
  </w:style>
  <w:style w:type="paragraph" w:customStyle="1" w:styleId="22">
    <w:name w:val="三级标题"/>
    <w:qFormat/>
    <w:uiPriority w:val="0"/>
    <w:pPr>
      <w:spacing w:line="560" w:lineRule="exact"/>
      <w:jc w:val="both"/>
      <w:outlineLvl w:val="3"/>
    </w:pPr>
    <w:rPr>
      <w:rFonts w:ascii="仿宋_GB2312" w:hAnsi="仿宋_GB2312" w:eastAsia="仿宋_GB2312" w:cstheme="minorBidi"/>
      <w:b/>
      <w:kern w:val="2"/>
      <w:sz w:val="32"/>
      <w:szCs w:val="22"/>
      <w:lang w:val="en-US" w:eastAsia="zh-CN" w:bidi="ar-SA"/>
      <w14:ligatures w14:val="standardContextual"/>
    </w:rPr>
  </w:style>
  <w:style w:type="paragraph" w:customStyle="1" w:styleId="23">
    <w:name w:val="一级标题"/>
    <w:qFormat/>
    <w:uiPriority w:val="0"/>
    <w:pPr>
      <w:spacing w:line="560" w:lineRule="exact"/>
      <w:ind w:firstLine="200" w:firstLineChars="200"/>
      <w:jc w:val="both"/>
      <w:outlineLvl w:val="1"/>
    </w:pPr>
    <w:rPr>
      <w:rFonts w:ascii="黑体" w:hAnsi="黑体" w:eastAsia="黑体" w:cstheme="minorBidi"/>
      <w:kern w:val="2"/>
      <w:sz w:val="32"/>
      <w:szCs w:val="22"/>
      <w:lang w:val="en-US" w:eastAsia="zh-CN" w:bidi="ar-SA"/>
      <w14:ligatures w14:val="standardContextual"/>
    </w:rPr>
  </w:style>
  <w:style w:type="paragraph" w:customStyle="1" w:styleId="24">
    <w:name w:val="五级标题"/>
    <w:qFormat/>
    <w:uiPriority w:val="0"/>
    <w:pPr>
      <w:spacing w:line="560" w:lineRule="exact"/>
      <w:ind w:firstLine="200" w:firstLineChars="200"/>
    </w:pPr>
    <w:rPr>
      <w:rFonts w:ascii="仿宋_GB2312" w:hAnsi="仿宋_GB2312" w:eastAsia="仿宋_GB2312" w:cstheme="minorBidi"/>
      <w:kern w:val="2"/>
      <w:sz w:val="32"/>
      <w:szCs w:val="32"/>
      <w:lang w:val="en-US" w:eastAsia="zh-CN" w:bidi="ar-SA"/>
      <w14:ligatures w14:val="standardContextual"/>
    </w:rPr>
  </w:style>
  <w:style w:type="paragraph" w:customStyle="1" w:styleId="25">
    <w:name w:val="四级标题"/>
    <w:qFormat/>
    <w:uiPriority w:val="0"/>
    <w:pPr>
      <w:spacing w:line="560" w:lineRule="exact"/>
      <w:ind w:firstLine="200" w:firstLineChars="200"/>
    </w:pPr>
    <w:rPr>
      <w:rFonts w:ascii="仿宋_GB2312" w:hAnsi="仿宋_GB2312" w:eastAsia="仿宋_GB2312" w:cstheme="minorBidi"/>
      <w:kern w:val="2"/>
      <w:sz w:val="32"/>
      <w:szCs w:val="32"/>
      <w:lang w:val="en-US" w:eastAsia="zh-CN" w:bidi="ar-SA"/>
      <w14:ligatures w14:val="standardContextual"/>
    </w:rPr>
  </w:style>
  <w:style w:type="paragraph" w:customStyle="1" w:styleId="26">
    <w:name w:val="二级标题"/>
    <w:qFormat/>
    <w:uiPriority w:val="0"/>
    <w:pPr>
      <w:spacing w:line="560" w:lineRule="exact"/>
      <w:ind w:firstLine="200" w:firstLineChars="200"/>
      <w:outlineLvl w:val="2"/>
    </w:pPr>
    <w:rPr>
      <w:rFonts w:ascii="仿宋_GB2312" w:hAnsi="仿宋_GB2312" w:eastAsia="楷体_GB2312" w:cstheme="minorBidi"/>
      <w:kern w:val="2"/>
      <w:sz w:val="32"/>
      <w:szCs w:val="22"/>
      <w:lang w:val="en-US" w:eastAsia="zh-CN" w:bidi="ar-SA"/>
      <w14:ligatures w14:val="standardContextual"/>
    </w:rPr>
  </w:style>
  <w:style w:type="paragraph" w:customStyle="1" w:styleId="27">
    <w:name w:val="方正标题"/>
    <w:link w:val="28"/>
    <w:qFormat/>
    <w:uiPriority w:val="0"/>
    <w:pPr>
      <w:spacing w:line="560" w:lineRule="exact"/>
      <w:ind w:left="-67" w:leftChars="-67" w:hanging="141" w:hangingChars="32"/>
      <w:jc w:val="center"/>
    </w:pPr>
    <w:rPr>
      <w:rFonts w:ascii="方正小标宋简体" w:hAnsi="方正小标宋简体" w:eastAsia="方正小标宋简体" w:cs="方正小标宋简体"/>
      <w:bCs/>
      <w:kern w:val="2"/>
      <w:sz w:val="44"/>
      <w:szCs w:val="44"/>
      <w:lang w:val="en-US" w:eastAsia="zh-CN" w:bidi="ar-SA"/>
      <w14:ligatures w14:val="standardContextual"/>
    </w:rPr>
  </w:style>
  <w:style w:type="character" w:customStyle="1" w:styleId="28">
    <w:name w:val="方正标题 字符"/>
    <w:basedOn w:val="18"/>
    <w:link w:val="27"/>
    <w:qFormat/>
    <w:uiPriority w:val="0"/>
    <w:rPr>
      <w:rFonts w:ascii="方正小标宋简体" w:hAnsi="方正小标宋简体" w:eastAsia="方正小标宋简体" w:cs="方正小标宋简体"/>
      <w:bCs/>
      <w:sz w:val="44"/>
      <w:szCs w:val="44"/>
    </w:rPr>
  </w:style>
  <w:style w:type="character" w:customStyle="1" w:styleId="29">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30">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31">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32">
    <w:name w:val="标题 4 字符"/>
    <w:basedOn w:val="18"/>
    <w:link w:val="5"/>
    <w:semiHidden/>
    <w:qFormat/>
    <w:uiPriority w:val="9"/>
    <w:rPr>
      <w:rFonts w:cstheme="majorBidi"/>
      <w:color w:val="104862" w:themeColor="accent1" w:themeShade="BF"/>
      <w:sz w:val="28"/>
      <w:szCs w:val="28"/>
    </w:rPr>
  </w:style>
  <w:style w:type="character" w:customStyle="1" w:styleId="33">
    <w:name w:val="标题 5 字符"/>
    <w:basedOn w:val="18"/>
    <w:link w:val="6"/>
    <w:semiHidden/>
    <w:qFormat/>
    <w:uiPriority w:val="9"/>
    <w:rPr>
      <w:rFonts w:cstheme="majorBidi"/>
      <w:color w:val="104862" w:themeColor="accent1" w:themeShade="BF"/>
      <w:sz w:val="24"/>
      <w:szCs w:val="24"/>
    </w:rPr>
  </w:style>
  <w:style w:type="character" w:customStyle="1" w:styleId="34">
    <w:name w:val="标题 6 字符"/>
    <w:basedOn w:val="18"/>
    <w:link w:val="7"/>
    <w:semiHidden/>
    <w:qFormat/>
    <w:uiPriority w:val="9"/>
    <w:rPr>
      <w:rFonts w:cstheme="majorBidi"/>
      <w:b/>
      <w:bCs/>
      <w:color w:val="104862" w:themeColor="accent1" w:themeShade="BF"/>
      <w:sz w:val="32"/>
    </w:rPr>
  </w:style>
  <w:style w:type="character" w:customStyle="1" w:styleId="35">
    <w:name w:val="标题 7 字符"/>
    <w:basedOn w:val="18"/>
    <w:link w:val="8"/>
    <w:semiHidden/>
    <w:qFormat/>
    <w:uiPriority w:val="9"/>
    <w:rPr>
      <w:rFonts w:cstheme="majorBidi"/>
      <w:b/>
      <w:bCs/>
      <w:color w:val="595959" w:themeColor="text1" w:themeTint="A6"/>
      <w:sz w:val="32"/>
      <w14:textFill>
        <w14:solidFill>
          <w14:schemeClr w14:val="tx1">
            <w14:lumMod w14:val="65000"/>
            <w14:lumOff w14:val="35000"/>
          </w14:schemeClr>
        </w14:solidFill>
      </w14:textFill>
    </w:rPr>
  </w:style>
  <w:style w:type="character" w:customStyle="1" w:styleId="36">
    <w:name w:val="标题 8 字符"/>
    <w:basedOn w:val="18"/>
    <w:link w:val="9"/>
    <w:semiHidden/>
    <w:qFormat/>
    <w:uiPriority w:val="9"/>
    <w:rPr>
      <w:rFonts w:cstheme="majorBidi"/>
      <w:color w:val="595959" w:themeColor="text1" w:themeTint="A6"/>
      <w:sz w:val="32"/>
      <w14:textFill>
        <w14:solidFill>
          <w14:schemeClr w14:val="tx1">
            <w14:lumMod w14:val="65000"/>
            <w14:lumOff w14:val="35000"/>
          </w14:schemeClr>
        </w14:solidFill>
      </w14:textFill>
    </w:rPr>
  </w:style>
  <w:style w:type="character" w:customStyle="1" w:styleId="37">
    <w:name w:val="标题 9 字符"/>
    <w:basedOn w:val="18"/>
    <w:link w:val="10"/>
    <w:semiHidden/>
    <w:qFormat/>
    <w:uiPriority w:val="9"/>
    <w:rPr>
      <w:rFonts w:eastAsiaTheme="majorEastAsia" w:cstheme="majorBidi"/>
      <w:color w:val="595959" w:themeColor="text1" w:themeTint="A6"/>
      <w:sz w:val="32"/>
      <w14:textFill>
        <w14:solidFill>
          <w14:schemeClr w14:val="tx1">
            <w14:lumMod w14:val="65000"/>
            <w14:lumOff w14:val="35000"/>
          </w14:schemeClr>
        </w14:solidFill>
      </w14:textFill>
    </w:rPr>
  </w:style>
  <w:style w:type="character" w:customStyle="1" w:styleId="3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0">
    <w:name w:val="Quote"/>
    <w:basedOn w:val="1"/>
    <w:next w:val="1"/>
    <w:link w:val="4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1">
    <w:name w:val="引用 字符"/>
    <w:basedOn w:val="18"/>
    <w:link w:val="40"/>
    <w:qFormat/>
    <w:uiPriority w:val="29"/>
    <w:rPr>
      <w:rFonts w:ascii="仿宋_GB2312" w:hAnsi="仿宋_GB2312" w:eastAsia="仿宋_GB2312"/>
      <w:i/>
      <w:iCs/>
      <w:color w:val="404040" w:themeColor="text1" w:themeTint="BF"/>
      <w:sz w:val="32"/>
      <w14:textFill>
        <w14:solidFill>
          <w14:schemeClr w14:val="tx1">
            <w14:lumMod w14:val="75000"/>
            <w14:lumOff w14:val="25000"/>
          </w14:schemeClr>
        </w14:solidFill>
      </w14:textFill>
    </w:rPr>
  </w:style>
  <w:style w:type="paragraph" w:styleId="42">
    <w:name w:val="List Paragraph"/>
    <w:basedOn w:val="1"/>
    <w:qFormat/>
    <w:uiPriority w:val="34"/>
    <w:pPr>
      <w:ind w:left="720"/>
      <w:contextualSpacing/>
    </w:pPr>
  </w:style>
  <w:style w:type="character" w:customStyle="1" w:styleId="43">
    <w:name w:val="Intense Emphasis"/>
    <w:basedOn w:val="18"/>
    <w:qFormat/>
    <w:uiPriority w:val="21"/>
    <w:rPr>
      <w:i/>
      <w:iCs/>
      <w:color w:val="104862" w:themeColor="accent1" w:themeShade="BF"/>
    </w:rPr>
  </w:style>
  <w:style w:type="paragraph" w:styleId="44">
    <w:name w:val="Intense Quote"/>
    <w:basedOn w:val="1"/>
    <w:next w:val="1"/>
    <w:link w:val="4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5">
    <w:name w:val="明显引用 字符"/>
    <w:basedOn w:val="18"/>
    <w:link w:val="44"/>
    <w:qFormat/>
    <w:uiPriority w:val="30"/>
    <w:rPr>
      <w:rFonts w:ascii="仿宋_GB2312" w:hAnsi="仿宋_GB2312" w:eastAsia="仿宋_GB2312"/>
      <w:i/>
      <w:iCs/>
      <w:color w:val="104862" w:themeColor="accent1" w:themeShade="BF"/>
      <w:sz w:val="32"/>
    </w:rPr>
  </w:style>
  <w:style w:type="character" w:customStyle="1" w:styleId="46">
    <w:name w:val="Intense Reference"/>
    <w:basedOn w:val="18"/>
    <w:qFormat/>
    <w:uiPriority w:val="32"/>
    <w:rPr>
      <w:b/>
      <w:bCs/>
      <w:smallCaps/>
      <w:color w:val="104862" w:themeColor="accent1" w:themeShade="BF"/>
      <w:spacing w:val="5"/>
    </w:rPr>
  </w:style>
  <w:style w:type="character" w:customStyle="1" w:styleId="47">
    <w:name w:val="页眉 字符"/>
    <w:basedOn w:val="18"/>
    <w:link w:val="13"/>
    <w:qFormat/>
    <w:uiPriority w:val="99"/>
    <w:rPr>
      <w:rFonts w:ascii="仿宋_GB2312" w:hAnsi="仿宋_GB2312" w:eastAsia="仿宋_GB2312"/>
      <w:sz w:val="18"/>
      <w:szCs w:val="18"/>
    </w:rPr>
  </w:style>
  <w:style w:type="character" w:customStyle="1" w:styleId="48">
    <w:name w:val="页脚 字符"/>
    <w:basedOn w:val="18"/>
    <w:link w:val="12"/>
    <w:qFormat/>
    <w:uiPriority w:val="99"/>
    <w:rPr>
      <w:rFonts w:ascii="仿宋_GB2312" w:hAnsi="仿宋_GB2312" w:eastAsia="仿宋_GB2312"/>
      <w:sz w:val="18"/>
      <w:szCs w:val="18"/>
    </w:rPr>
  </w:style>
  <w:style w:type="table" w:customStyle="1" w:styleId="49">
    <w:name w:val="_Style 12"/>
    <w:basedOn w:val="50"/>
    <w:qFormat/>
    <w:uiPriority w:val="0"/>
    <w:tblPr>
      <w:tblCellMar>
        <w:left w:w="115" w:type="dxa"/>
        <w:right w:w="115" w:type="dxa"/>
      </w:tblCellMar>
    </w:tblPr>
  </w:style>
  <w:style w:type="table" w:customStyle="1" w:styleId="50">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4077</Words>
  <Characters>4265</Characters>
  <Lines>5</Lines>
  <Paragraphs>1</Paragraphs>
  <TotalTime>1</TotalTime>
  <ScaleCrop>false</ScaleCrop>
  <LinksUpToDate>false</LinksUpToDate>
  <CharactersWithSpaces>4272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2024-04-11T11:01:00Z</dcterms:created>
  <dc:creator>QZ3586</dc:creator>
  <cp:lastModifiedBy>Zhaoxu Zhan</cp:lastModifiedBy>
  <cp:lastPrinted>2026-07-09T04:01:00Z</cp:lastPrinted>
  <dcterms:modified xsi:type="dcterms:W3CDTF">2026-07-09T09:11:02Z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7CACCF9905B84488ACE5CBC341862911_13</vt:lpwstr>
  </property>
  <property fmtid="{D5CDD505-2E9C-101B-9397-08002B2CF9AE}" pid="4" name="KSOTemplateDocerSaveRecord">
    <vt:lpwstr>eyJoZGlkIjoiMGEzNDYzNmU3MWYyOWI3OGVjNjJjNGNlYzQ1YjNmZGUiLCJ1c2VySWQiOiI0NDE1MDIwNTEifQ==</vt:lpwstr>
  </property>
</Properties>
</file>